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E7A" w:rsidRPr="00E833FE" w:rsidRDefault="00E833FE" w:rsidP="00E833FE">
      <w:pPr>
        <w:tabs>
          <w:tab w:val="left" w:pos="6150"/>
        </w:tabs>
        <w:spacing w:after="0"/>
        <w:jc w:val="both"/>
        <w:rPr>
          <w:lang w:val="en-US"/>
        </w:rPr>
      </w:pPr>
      <w:r>
        <w:rPr>
          <w:lang w:val="en-US"/>
        </w:rPr>
        <w:tab/>
      </w:r>
    </w:p>
    <w:p w:rsidR="00553E7A" w:rsidRPr="00E833FE" w:rsidRDefault="00553E7A" w:rsidP="00091551">
      <w:pPr>
        <w:autoSpaceDE w:val="0"/>
        <w:autoSpaceDN w:val="0"/>
        <w:adjustRightInd w:val="0"/>
        <w:spacing w:after="0" w:line="240" w:lineRule="auto"/>
        <w:jc w:val="center"/>
        <w:rPr>
          <w:rFonts w:cs="Arial"/>
          <w:b/>
          <w:color w:val="000000"/>
          <w:sz w:val="28"/>
          <w:szCs w:val="28"/>
        </w:rPr>
      </w:pPr>
      <w:r w:rsidRPr="00E833FE">
        <w:rPr>
          <w:rFonts w:cs="Arial"/>
          <w:b/>
          <w:color w:val="000000"/>
          <w:sz w:val="28"/>
          <w:szCs w:val="28"/>
        </w:rPr>
        <w:t xml:space="preserve">ГОДИШЕН </w:t>
      </w:r>
      <w:r w:rsidR="00CE324F" w:rsidRPr="00E833FE">
        <w:rPr>
          <w:rFonts w:cs="Arial"/>
          <w:b/>
          <w:color w:val="000000"/>
          <w:sz w:val="28"/>
          <w:szCs w:val="28"/>
          <w:lang w:val="en-US"/>
        </w:rPr>
        <w:t xml:space="preserve"> </w:t>
      </w:r>
      <w:r w:rsidRPr="00E833FE">
        <w:rPr>
          <w:rFonts w:cs="Arial"/>
          <w:b/>
          <w:color w:val="000000"/>
          <w:sz w:val="28"/>
          <w:szCs w:val="28"/>
        </w:rPr>
        <w:t>ИЗВЕШТАЈ</w:t>
      </w:r>
    </w:p>
    <w:p w:rsidR="00ED7906" w:rsidRPr="00E833FE" w:rsidRDefault="00ED7906" w:rsidP="00091551">
      <w:pPr>
        <w:autoSpaceDE w:val="0"/>
        <w:autoSpaceDN w:val="0"/>
        <w:adjustRightInd w:val="0"/>
        <w:spacing w:after="0" w:line="240" w:lineRule="auto"/>
        <w:jc w:val="center"/>
        <w:rPr>
          <w:rFonts w:cs="TTE2238F88t00"/>
          <w:b/>
          <w:color w:val="000000"/>
          <w:sz w:val="28"/>
          <w:szCs w:val="28"/>
        </w:rPr>
      </w:pPr>
    </w:p>
    <w:p w:rsidR="00553E7A" w:rsidRPr="00E833FE" w:rsidRDefault="00553E7A" w:rsidP="00091551">
      <w:pPr>
        <w:autoSpaceDE w:val="0"/>
        <w:autoSpaceDN w:val="0"/>
        <w:adjustRightInd w:val="0"/>
        <w:spacing w:after="0" w:line="240" w:lineRule="auto"/>
        <w:jc w:val="center"/>
        <w:rPr>
          <w:rFonts w:cs="Arial"/>
          <w:b/>
          <w:color w:val="000000"/>
          <w:sz w:val="28"/>
          <w:szCs w:val="28"/>
        </w:rPr>
      </w:pPr>
      <w:r w:rsidRPr="00E833FE">
        <w:rPr>
          <w:rFonts w:cs="Arial"/>
          <w:b/>
          <w:color w:val="000000"/>
          <w:sz w:val="28"/>
          <w:szCs w:val="28"/>
        </w:rPr>
        <w:t>за работата на Службата за внатрешна ревизија</w:t>
      </w:r>
    </w:p>
    <w:p w:rsidR="00553E7A" w:rsidRPr="00E833FE" w:rsidRDefault="00553E7A" w:rsidP="00091551">
      <w:pPr>
        <w:autoSpaceDE w:val="0"/>
        <w:autoSpaceDN w:val="0"/>
        <w:adjustRightInd w:val="0"/>
        <w:spacing w:after="0" w:line="240" w:lineRule="auto"/>
        <w:jc w:val="center"/>
        <w:rPr>
          <w:rFonts w:cs="Arial"/>
          <w:b/>
          <w:color w:val="000000"/>
          <w:sz w:val="28"/>
          <w:szCs w:val="28"/>
        </w:rPr>
      </w:pPr>
      <w:r w:rsidRPr="00E833FE">
        <w:rPr>
          <w:rFonts w:cs="Arial"/>
          <w:b/>
          <w:color w:val="000000"/>
          <w:sz w:val="28"/>
          <w:szCs w:val="28"/>
        </w:rPr>
        <w:t xml:space="preserve">во </w:t>
      </w:r>
      <w:r w:rsidR="00F55CD0">
        <w:rPr>
          <w:rFonts w:cs="Arial"/>
          <w:b/>
          <w:color w:val="000000"/>
          <w:sz w:val="28"/>
          <w:szCs w:val="28"/>
        </w:rPr>
        <w:t>текот</w:t>
      </w:r>
      <w:r w:rsidRPr="00E833FE">
        <w:rPr>
          <w:rFonts w:cs="Arial"/>
          <w:b/>
          <w:color w:val="000000"/>
          <w:sz w:val="28"/>
          <w:szCs w:val="28"/>
        </w:rPr>
        <w:t xml:space="preserve"> на 20</w:t>
      </w:r>
      <w:r w:rsidRPr="00E833FE">
        <w:rPr>
          <w:rFonts w:cs="Arial"/>
          <w:b/>
          <w:color w:val="000000"/>
          <w:sz w:val="28"/>
          <w:szCs w:val="28"/>
          <w:lang w:val="en-US"/>
        </w:rPr>
        <w:t>1</w:t>
      </w:r>
      <w:r w:rsidR="008B4A2C">
        <w:rPr>
          <w:rFonts w:cs="Arial"/>
          <w:b/>
          <w:color w:val="000000"/>
          <w:sz w:val="28"/>
          <w:szCs w:val="28"/>
        </w:rPr>
        <w:t>5</w:t>
      </w:r>
      <w:r w:rsidRPr="00E833FE">
        <w:rPr>
          <w:rFonts w:cs="Arial"/>
          <w:b/>
          <w:color w:val="000000"/>
          <w:sz w:val="28"/>
          <w:szCs w:val="28"/>
          <w:lang w:val="en-US"/>
        </w:rPr>
        <w:t xml:space="preserve"> </w:t>
      </w:r>
      <w:r w:rsidRPr="00E833FE">
        <w:rPr>
          <w:rFonts w:cs="Arial"/>
          <w:b/>
          <w:color w:val="000000"/>
          <w:sz w:val="28"/>
          <w:szCs w:val="28"/>
        </w:rPr>
        <w:t>година</w:t>
      </w:r>
    </w:p>
    <w:p w:rsidR="00553E7A" w:rsidRPr="00E833FE" w:rsidRDefault="00553E7A" w:rsidP="00091551">
      <w:pPr>
        <w:autoSpaceDE w:val="0"/>
        <w:autoSpaceDN w:val="0"/>
        <w:adjustRightInd w:val="0"/>
        <w:spacing w:after="0" w:line="240" w:lineRule="auto"/>
        <w:jc w:val="both"/>
        <w:rPr>
          <w:rFonts w:cs="Arial"/>
          <w:b/>
          <w:color w:val="000000"/>
          <w:sz w:val="28"/>
          <w:szCs w:val="28"/>
        </w:rPr>
      </w:pPr>
    </w:p>
    <w:p w:rsidR="00553E7A" w:rsidRPr="00E833FE" w:rsidRDefault="00553E7A" w:rsidP="00091551">
      <w:pPr>
        <w:autoSpaceDE w:val="0"/>
        <w:autoSpaceDN w:val="0"/>
        <w:adjustRightInd w:val="0"/>
        <w:spacing w:after="0" w:line="240" w:lineRule="auto"/>
        <w:jc w:val="both"/>
        <w:rPr>
          <w:rFonts w:cs="Arial"/>
          <w:b/>
          <w:color w:val="000000"/>
          <w:sz w:val="28"/>
          <w:szCs w:val="28"/>
        </w:rPr>
      </w:pPr>
    </w:p>
    <w:p w:rsidR="00553E7A" w:rsidRPr="00E833FE" w:rsidRDefault="00553E7A" w:rsidP="00091551">
      <w:pPr>
        <w:autoSpaceDE w:val="0"/>
        <w:autoSpaceDN w:val="0"/>
        <w:adjustRightInd w:val="0"/>
        <w:spacing w:after="0" w:line="240" w:lineRule="auto"/>
        <w:jc w:val="both"/>
        <w:rPr>
          <w:rFonts w:cs="Arial"/>
          <w:color w:val="000000"/>
          <w:sz w:val="28"/>
          <w:szCs w:val="28"/>
        </w:rPr>
      </w:pPr>
    </w:p>
    <w:p w:rsidR="00553E7A" w:rsidRPr="00E833FE" w:rsidRDefault="00553E7A" w:rsidP="00091551">
      <w:pPr>
        <w:autoSpaceDE w:val="0"/>
        <w:autoSpaceDN w:val="0"/>
        <w:adjustRightInd w:val="0"/>
        <w:spacing w:after="0" w:line="240" w:lineRule="auto"/>
        <w:jc w:val="both"/>
        <w:rPr>
          <w:rFonts w:cs="TTE2238F88t00"/>
          <w:color w:val="000000"/>
          <w:sz w:val="28"/>
          <w:szCs w:val="28"/>
          <w:lang w:val="en-US"/>
        </w:rPr>
      </w:pPr>
    </w:p>
    <w:p w:rsidR="00553E7A" w:rsidRPr="00E833FE" w:rsidRDefault="00553E7A" w:rsidP="00091551">
      <w:pPr>
        <w:autoSpaceDE w:val="0"/>
        <w:autoSpaceDN w:val="0"/>
        <w:adjustRightInd w:val="0"/>
        <w:spacing w:after="0" w:line="240" w:lineRule="auto"/>
        <w:jc w:val="both"/>
        <w:rPr>
          <w:rFonts w:cs="TTE2238F88t00"/>
          <w:color w:val="000000"/>
          <w:sz w:val="28"/>
          <w:szCs w:val="28"/>
          <w:lang w:val="en-US"/>
        </w:rPr>
      </w:pPr>
    </w:p>
    <w:p w:rsidR="00553E7A" w:rsidRPr="00E833FE" w:rsidRDefault="00553E7A" w:rsidP="00091551">
      <w:pPr>
        <w:autoSpaceDE w:val="0"/>
        <w:autoSpaceDN w:val="0"/>
        <w:adjustRightInd w:val="0"/>
        <w:spacing w:after="0" w:line="240" w:lineRule="auto"/>
        <w:jc w:val="both"/>
        <w:rPr>
          <w:rFonts w:cs="TTE2238F88t00"/>
          <w:color w:val="000000"/>
          <w:sz w:val="28"/>
          <w:szCs w:val="28"/>
          <w:lang w:val="en-US"/>
        </w:rPr>
      </w:pPr>
    </w:p>
    <w:p w:rsidR="00553E7A" w:rsidRPr="00E833FE" w:rsidRDefault="0023024C" w:rsidP="00091551">
      <w:pPr>
        <w:autoSpaceDE w:val="0"/>
        <w:autoSpaceDN w:val="0"/>
        <w:adjustRightInd w:val="0"/>
        <w:spacing w:after="0" w:line="240" w:lineRule="auto"/>
        <w:jc w:val="both"/>
        <w:rPr>
          <w:rFonts w:cs="TTE2238F88t00"/>
          <w:color w:val="000000"/>
          <w:sz w:val="28"/>
          <w:szCs w:val="28"/>
          <w:lang w:val="en-US"/>
        </w:rPr>
      </w:pPr>
      <w:r w:rsidRPr="0023024C">
        <w:rPr>
          <w:rFonts w:cs="TTE2238F88t00"/>
          <w:noProof/>
          <w:color w:val="000000"/>
          <w:sz w:val="28"/>
          <w:szCs w:val="28"/>
          <w:lang w:eastAsia="mk-M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pt;margin-top:16.45pt;width:402.75pt;height:108.3pt;z-index:251660288" o:allowincell="f">
            <v:imagedata r:id="rId8" o:title=""/>
            <w10:wrap type="topAndBottom"/>
          </v:shape>
          <o:OLEObject Type="Embed" ProgID="PBrush" ShapeID="_x0000_s1026" DrawAspect="Content" ObjectID="_1516437124" r:id="rId9"/>
        </w:pict>
      </w:r>
    </w:p>
    <w:p w:rsidR="00553E7A" w:rsidRPr="00E833FE" w:rsidRDefault="00553E7A" w:rsidP="00091551">
      <w:pPr>
        <w:autoSpaceDE w:val="0"/>
        <w:autoSpaceDN w:val="0"/>
        <w:adjustRightInd w:val="0"/>
        <w:spacing w:after="0" w:line="240" w:lineRule="auto"/>
        <w:jc w:val="both"/>
        <w:rPr>
          <w:rFonts w:cs="TTE2238F88t00"/>
          <w:color w:val="000000"/>
          <w:sz w:val="28"/>
          <w:szCs w:val="28"/>
        </w:rPr>
      </w:pPr>
    </w:p>
    <w:p w:rsidR="00553E7A" w:rsidRPr="00E833FE" w:rsidRDefault="00553E7A" w:rsidP="00091551">
      <w:pPr>
        <w:autoSpaceDE w:val="0"/>
        <w:autoSpaceDN w:val="0"/>
        <w:adjustRightInd w:val="0"/>
        <w:spacing w:after="0" w:line="240" w:lineRule="auto"/>
        <w:jc w:val="both"/>
        <w:rPr>
          <w:rFonts w:cs="TTE2238F88t00"/>
          <w:color w:val="000000"/>
          <w:sz w:val="28"/>
          <w:szCs w:val="28"/>
        </w:rPr>
      </w:pPr>
    </w:p>
    <w:p w:rsidR="00553E7A" w:rsidRPr="00E833FE" w:rsidRDefault="00553E7A" w:rsidP="00091551">
      <w:pPr>
        <w:autoSpaceDE w:val="0"/>
        <w:autoSpaceDN w:val="0"/>
        <w:adjustRightInd w:val="0"/>
        <w:spacing w:after="0" w:line="240" w:lineRule="auto"/>
        <w:jc w:val="both"/>
        <w:rPr>
          <w:rFonts w:cs="TTE2238F88t00"/>
          <w:color w:val="000000"/>
          <w:sz w:val="28"/>
          <w:szCs w:val="28"/>
        </w:rPr>
      </w:pPr>
    </w:p>
    <w:p w:rsidR="00553E7A" w:rsidRPr="00E833FE" w:rsidRDefault="00553E7A" w:rsidP="00091551">
      <w:pPr>
        <w:autoSpaceDE w:val="0"/>
        <w:autoSpaceDN w:val="0"/>
        <w:adjustRightInd w:val="0"/>
        <w:spacing w:after="0" w:line="240" w:lineRule="auto"/>
        <w:jc w:val="both"/>
        <w:rPr>
          <w:rFonts w:cs="TTE2238F88t00"/>
          <w:color w:val="000000"/>
          <w:sz w:val="28"/>
          <w:szCs w:val="28"/>
        </w:rPr>
      </w:pPr>
    </w:p>
    <w:p w:rsidR="00553E7A" w:rsidRPr="00E833FE" w:rsidRDefault="00553E7A" w:rsidP="00091551">
      <w:pPr>
        <w:autoSpaceDE w:val="0"/>
        <w:autoSpaceDN w:val="0"/>
        <w:adjustRightInd w:val="0"/>
        <w:spacing w:after="0" w:line="240" w:lineRule="auto"/>
        <w:jc w:val="both"/>
        <w:rPr>
          <w:rFonts w:cs="TTE2238F88t00"/>
          <w:color w:val="000000"/>
          <w:sz w:val="28"/>
          <w:szCs w:val="28"/>
        </w:rPr>
      </w:pPr>
    </w:p>
    <w:p w:rsidR="00553E7A" w:rsidRPr="00E833FE" w:rsidRDefault="00553E7A" w:rsidP="00091551">
      <w:pPr>
        <w:autoSpaceDE w:val="0"/>
        <w:autoSpaceDN w:val="0"/>
        <w:adjustRightInd w:val="0"/>
        <w:spacing w:after="0" w:line="240" w:lineRule="auto"/>
        <w:jc w:val="both"/>
        <w:rPr>
          <w:rFonts w:cs="TTE2238F88t00"/>
          <w:color w:val="000000"/>
          <w:sz w:val="28"/>
          <w:szCs w:val="28"/>
        </w:rPr>
      </w:pPr>
    </w:p>
    <w:p w:rsidR="00553E7A" w:rsidRPr="00E833FE" w:rsidRDefault="00553E7A" w:rsidP="00091551">
      <w:pPr>
        <w:autoSpaceDE w:val="0"/>
        <w:autoSpaceDN w:val="0"/>
        <w:adjustRightInd w:val="0"/>
        <w:spacing w:after="0" w:line="240" w:lineRule="auto"/>
        <w:jc w:val="both"/>
        <w:rPr>
          <w:rFonts w:cs="TTE2238F88t00"/>
          <w:color w:val="000000"/>
          <w:sz w:val="28"/>
          <w:szCs w:val="28"/>
        </w:rPr>
      </w:pPr>
    </w:p>
    <w:p w:rsidR="00553E7A" w:rsidRPr="00E833FE" w:rsidRDefault="00553E7A" w:rsidP="00091551">
      <w:pPr>
        <w:autoSpaceDE w:val="0"/>
        <w:autoSpaceDN w:val="0"/>
        <w:adjustRightInd w:val="0"/>
        <w:spacing w:after="0" w:line="240" w:lineRule="auto"/>
        <w:jc w:val="both"/>
        <w:rPr>
          <w:rFonts w:cs="TTE2238F88t00"/>
          <w:color w:val="000000"/>
          <w:sz w:val="28"/>
          <w:szCs w:val="28"/>
        </w:rPr>
      </w:pPr>
    </w:p>
    <w:p w:rsidR="00553E7A" w:rsidRPr="00E833FE" w:rsidRDefault="00553E7A" w:rsidP="00091551">
      <w:pPr>
        <w:autoSpaceDE w:val="0"/>
        <w:autoSpaceDN w:val="0"/>
        <w:adjustRightInd w:val="0"/>
        <w:spacing w:after="0" w:line="240" w:lineRule="auto"/>
        <w:jc w:val="both"/>
        <w:rPr>
          <w:rFonts w:cs="TTE2238F88t00"/>
          <w:color w:val="000000"/>
          <w:sz w:val="28"/>
          <w:szCs w:val="28"/>
        </w:rPr>
      </w:pPr>
    </w:p>
    <w:p w:rsidR="00553E7A" w:rsidRPr="00E833FE" w:rsidRDefault="00553E7A" w:rsidP="00091551">
      <w:pPr>
        <w:autoSpaceDE w:val="0"/>
        <w:autoSpaceDN w:val="0"/>
        <w:adjustRightInd w:val="0"/>
        <w:spacing w:after="0" w:line="240" w:lineRule="auto"/>
        <w:jc w:val="both"/>
        <w:rPr>
          <w:rFonts w:cs="TTE2238F88t00"/>
          <w:color w:val="000000"/>
          <w:sz w:val="28"/>
          <w:szCs w:val="28"/>
        </w:rPr>
      </w:pPr>
    </w:p>
    <w:p w:rsidR="00553E7A" w:rsidRPr="00E833FE" w:rsidRDefault="00553E7A" w:rsidP="00091551">
      <w:pPr>
        <w:autoSpaceDE w:val="0"/>
        <w:autoSpaceDN w:val="0"/>
        <w:adjustRightInd w:val="0"/>
        <w:spacing w:after="0" w:line="240" w:lineRule="auto"/>
        <w:jc w:val="both"/>
        <w:rPr>
          <w:rFonts w:cs="TTE2238F88t00"/>
          <w:color w:val="000000"/>
          <w:sz w:val="28"/>
          <w:szCs w:val="28"/>
        </w:rPr>
      </w:pPr>
    </w:p>
    <w:p w:rsidR="00553E7A" w:rsidRPr="00E833FE" w:rsidRDefault="00553E7A" w:rsidP="00091551">
      <w:pPr>
        <w:autoSpaceDE w:val="0"/>
        <w:autoSpaceDN w:val="0"/>
        <w:adjustRightInd w:val="0"/>
        <w:spacing w:after="0" w:line="240" w:lineRule="auto"/>
        <w:jc w:val="both"/>
        <w:rPr>
          <w:rFonts w:cs="TTE2238F88t00"/>
          <w:color w:val="000000"/>
          <w:sz w:val="28"/>
          <w:szCs w:val="28"/>
        </w:rPr>
      </w:pPr>
    </w:p>
    <w:p w:rsidR="00553E7A" w:rsidRPr="00E833FE" w:rsidRDefault="00553E7A" w:rsidP="00091551">
      <w:pPr>
        <w:autoSpaceDE w:val="0"/>
        <w:autoSpaceDN w:val="0"/>
        <w:adjustRightInd w:val="0"/>
        <w:spacing w:after="0" w:line="240" w:lineRule="auto"/>
        <w:jc w:val="both"/>
        <w:rPr>
          <w:rFonts w:cs="TTE2238F88t00"/>
          <w:color w:val="000000"/>
          <w:sz w:val="28"/>
          <w:szCs w:val="28"/>
        </w:rPr>
      </w:pPr>
    </w:p>
    <w:p w:rsidR="00553E7A" w:rsidRPr="00E833FE" w:rsidRDefault="00553E7A" w:rsidP="00091551">
      <w:pPr>
        <w:autoSpaceDE w:val="0"/>
        <w:autoSpaceDN w:val="0"/>
        <w:adjustRightInd w:val="0"/>
        <w:spacing w:after="0" w:line="240" w:lineRule="auto"/>
        <w:jc w:val="both"/>
        <w:rPr>
          <w:rFonts w:cs="TTE2238F88t00"/>
          <w:color w:val="000000"/>
          <w:sz w:val="28"/>
          <w:szCs w:val="28"/>
          <w:lang w:val="en-US"/>
        </w:rPr>
      </w:pPr>
    </w:p>
    <w:p w:rsidR="00553E7A" w:rsidRPr="00E833FE" w:rsidRDefault="00553E7A" w:rsidP="00091551">
      <w:pPr>
        <w:autoSpaceDE w:val="0"/>
        <w:autoSpaceDN w:val="0"/>
        <w:adjustRightInd w:val="0"/>
        <w:spacing w:after="0" w:line="240" w:lineRule="auto"/>
        <w:jc w:val="both"/>
        <w:rPr>
          <w:rFonts w:cs="TTE2238F88t00"/>
          <w:color w:val="000000"/>
          <w:sz w:val="28"/>
          <w:szCs w:val="28"/>
          <w:lang w:val="en-US"/>
        </w:rPr>
      </w:pPr>
    </w:p>
    <w:p w:rsidR="00553E7A" w:rsidRPr="00E833FE" w:rsidRDefault="00553E7A" w:rsidP="00091551">
      <w:pPr>
        <w:autoSpaceDE w:val="0"/>
        <w:autoSpaceDN w:val="0"/>
        <w:adjustRightInd w:val="0"/>
        <w:spacing w:after="0" w:line="240" w:lineRule="auto"/>
        <w:jc w:val="both"/>
        <w:rPr>
          <w:rFonts w:cs="TTE2238F88t00"/>
          <w:color w:val="000000"/>
          <w:sz w:val="28"/>
          <w:szCs w:val="28"/>
          <w:lang w:val="en-US"/>
        </w:rPr>
      </w:pPr>
    </w:p>
    <w:p w:rsidR="00553E7A" w:rsidRPr="00E833FE" w:rsidRDefault="00553E7A" w:rsidP="00091551">
      <w:pPr>
        <w:autoSpaceDE w:val="0"/>
        <w:autoSpaceDN w:val="0"/>
        <w:adjustRightInd w:val="0"/>
        <w:spacing w:after="0" w:line="240" w:lineRule="auto"/>
        <w:jc w:val="both"/>
        <w:rPr>
          <w:rFonts w:cs="TTE2238F88t00"/>
          <w:color w:val="000000"/>
          <w:sz w:val="28"/>
          <w:szCs w:val="28"/>
          <w:lang w:val="en-US"/>
        </w:rPr>
      </w:pPr>
    </w:p>
    <w:p w:rsidR="00ED7906" w:rsidRPr="00E833FE" w:rsidRDefault="00ED7906" w:rsidP="00091551">
      <w:pPr>
        <w:autoSpaceDE w:val="0"/>
        <w:autoSpaceDN w:val="0"/>
        <w:adjustRightInd w:val="0"/>
        <w:spacing w:after="0" w:line="240" w:lineRule="auto"/>
        <w:jc w:val="both"/>
        <w:rPr>
          <w:rFonts w:cs="TTE2238F88t00"/>
          <w:color w:val="000000"/>
          <w:sz w:val="28"/>
          <w:szCs w:val="28"/>
        </w:rPr>
      </w:pPr>
    </w:p>
    <w:p w:rsidR="00553E7A" w:rsidRPr="006B7092" w:rsidRDefault="00553E7A" w:rsidP="006B7092">
      <w:pPr>
        <w:autoSpaceDE w:val="0"/>
        <w:autoSpaceDN w:val="0"/>
        <w:adjustRightInd w:val="0"/>
        <w:spacing w:after="0" w:line="240" w:lineRule="auto"/>
        <w:jc w:val="center"/>
        <w:rPr>
          <w:rFonts w:cs="TTE2238F88t00"/>
          <w:color w:val="000000"/>
          <w:sz w:val="24"/>
          <w:szCs w:val="24"/>
        </w:rPr>
      </w:pPr>
      <w:r w:rsidRPr="006B7092">
        <w:rPr>
          <w:rFonts w:cs="Arial"/>
          <w:color w:val="000000"/>
          <w:sz w:val="24"/>
          <w:szCs w:val="24"/>
        </w:rPr>
        <w:t>КАПИТАЛ БАНКА АД Скопје</w:t>
      </w:r>
    </w:p>
    <w:p w:rsidR="00553E7A" w:rsidRPr="006B7092" w:rsidRDefault="00553E7A" w:rsidP="006B7092">
      <w:pPr>
        <w:autoSpaceDE w:val="0"/>
        <w:autoSpaceDN w:val="0"/>
        <w:adjustRightInd w:val="0"/>
        <w:spacing w:after="0" w:line="240" w:lineRule="auto"/>
        <w:jc w:val="center"/>
        <w:rPr>
          <w:rFonts w:cs="TTE2238F88t00"/>
          <w:color w:val="000000"/>
          <w:sz w:val="24"/>
          <w:szCs w:val="24"/>
        </w:rPr>
      </w:pPr>
      <w:r w:rsidRPr="006B7092">
        <w:rPr>
          <w:rFonts w:cs="Arial"/>
          <w:color w:val="000000"/>
          <w:sz w:val="24"/>
          <w:szCs w:val="24"/>
        </w:rPr>
        <w:t>Служба за внатрешна ревизија</w:t>
      </w:r>
    </w:p>
    <w:p w:rsidR="00B96C7E" w:rsidRPr="008B4A2C" w:rsidRDefault="0006302B" w:rsidP="006B7092">
      <w:pPr>
        <w:autoSpaceDE w:val="0"/>
        <w:autoSpaceDN w:val="0"/>
        <w:adjustRightInd w:val="0"/>
        <w:spacing w:after="0" w:line="240" w:lineRule="auto"/>
        <w:jc w:val="center"/>
        <w:rPr>
          <w:rFonts w:cs="TTE2238F88t00"/>
          <w:color w:val="000000"/>
          <w:sz w:val="24"/>
          <w:szCs w:val="24"/>
        </w:rPr>
        <w:sectPr w:rsidR="00B96C7E" w:rsidRPr="008B4A2C" w:rsidSect="00BD1E6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pPr>
      <w:proofErr w:type="gramStart"/>
      <w:r>
        <w:rPr>
          <w:rFonts w:cs="Arial"/>
          <w:color w:val="000000"/>
          <w:sz w:val="24"/>
          <w:szCs w:val="24"/>
          <w:lang w:val="en-US"/>
        </w:rPr>
        <w:t>j</w:t>
      </w:r>
      <w:r w:rsidR="00F55CD0" w:rsidRPr="006B7092">
        <w:rPr>
          <w:rFonts w:cs="Arial"/>
          <w:color w:val="000000"/>
          <w:sz w:val="24"/>
          <w:szCs w:val="24"/>
        </w:rPr>
        <w:t>ануари</w:t>
      </w:r>
      <w:proofErr w:type="gramEnd"/>
      <w:r w:rsidR="00ED7906" w:rsidRPr="006B7092">
        <w:rPr>
          <w:rFonts w:cs="Arial"/>
          <w:color w:val="000000"/>
          <w:sz w:val="24"/>
          <w:szCs w:val="24"/>
        </w:rPr>
        <w:t xml:space="preserve"> </w:t>
      </w:r>
      <w:r w:rsidR="00B96C7E" w:rsidRPr="006B7092">
        <w:rPr>
          <w:rFonts w:cs="Arial"/>
          <w:color w:val="000000"/>
          <w:sz w:val="24"/>
          <w:szCs w:val="24"/>
        </w:rPr>
        <w:t>20</w:t>
      </w:r>
      <w:r w:rsidR="00B96C7E" w:rsidRPr="006B7092">
        <w:rPr>
          <w:rFonts w:cs="Arial"/>
          <w:color w:val="000000"/>
          <w:sz w:val="24"/>
          <w:szCs w:val="24"/>
          <w:lang w:val="en-US"/>
        </w:rPr>
        <w:t>1</w:t>
      </w:r>
      <w:r w:rsidR="008B4A2C">
        <w:rPr>
          <w:rFonts w:cs="Arial"/>
          <w:color w:val="000000"/>
          <w:sz w:val="24"/>
          <w:szCs w:val="24"/>
        </w:rPr>
        <w:t>6</w:t>
      </w:r>
    </w:p>
    <w:p w:rsidR="00553E7A" w:rsidRPr="006B7092" w:rsidRDefault="00553E7A" w:rsidP="006B7092">
      <w:pPr>
        <w:autoSpaceDE w:val="0"/>
        <w:autoSpaceDN w:val="0"/>
        <w:adjustRightInd w:val="0"/>
        <w:spacing w:after="0" w:line="240" w:lineRule="auto"/>
        <w:jc w:val="both"/>
        <w:rPr>
          <w:rFonts w:cs="Arial"/>
          <w:b/>
          <w:sz w:val="24"/>
          <w:szCs w:val="24"/>
        </w:rPr>
      </w:pPr>
      <w:r w:rsidRPr="006B7092">
        <w:rPr>
          <w:rFonts w:cs="Arial"/>
          <w:b/>
          <w:sz w:val="24"/>
          <w:szCs w:val="24"/>
        </w:rPr>
        <w:lastRenderedPageBreak/>
        <w:t>ВОВЕД</w:t>
      </w:r>
    </w:p>
    <w:p w:rsidR="00553E7A" w:rsidRPr="006B7092" w:rsidRDefault="00553E7A" w:rsidP="006B7092">
      <w:pPr>
        <w:autoSpaceDE w:val="0"/>
        <w:autoSpaceDN w:val="0"/>
        <w:adjustRightInd w:val="0"/>
        <w:spacing w:after="0" w:line="240" w:lineRule="auto"/>
        <w:jc w:val="both"/>
        <w:rPr>
          <w:rFonts w:cs="Arial"/>
          <w:sz w:val="24"/>
          <w:szCs w:val="24"/>
        </w:rPr>
      </w:pPr>
    </w:p>
    <w:p w:rsidR="00553E7A" w:rsidRPr="006B7092" w:rsidRDefault="00553E7A" w:rsidP="006B7092">
      <w:pPr>
        <w:autoSpaceDE w:val="0"/>
        <w:autoSpaceDN w:val="0"/>
        <w:adjustRightInd w:val="0"/>
        <w:spacing w:after="0" w:line="240" w:lineRule="auto"/>
        <w:jc w:val="both"/>
        <w:rPr>
          <w:rFonts w:cs="Arial"/>
          <w:sz w:val="24"/>
          <w:szCs w:val="24"/>
        </w:rPr>
      </w:pPr>
      <w:r w:rsidRPr="006B7092">
        <w:rPr>
          <w:rFonts w:cs="Arial"/>
          <w:sz w:val="24"/>
          <w:szCs w:val="24"/>
        </w:rPr>
        <w:t xml:space="preserve">Врз основа на член  97 од Законот за Банки </w:t>
      </w:r>
      <w:r w:rsidR="00E97E28" w:rsidRPr="006B7092">
        <w:rPr>
          <w:rFonts w:cs="Arial"/>
          <w:sz w:val="24"/>
          <w:szCs w:val="24"/>
        </w:rPr>
        <w:t>(</w:t>
      </w:r>
      <w:r w:rsidR="008B4A2C" w:rsidRPr="00554690">
        <w:rPr>
          <w:rFonts w:cs="Arial"/>
          <w:sz w:val="24"/>
          <w:szCs w:val="24"/>
        </w:rPr>
        <w:t xml:space="preserve">Службен весник на РМ бр. </w:t>
      </w:r>
      <w:r w:rsidR="008B4A2C" w:rsidRPr="00AE3C68">
        <w:rPr>
          <w:rFonts w:cs="Arial"/>
          <w:sz w:val="24"/>
          <w:szCs w:val="24"/>
        </w:rPr>
        <w:t>67/2007, 90/2009</w:t>
      </w:r>
      <w:r w:rsidR="008B4A2C" w:rsidRPr="00AE3C68">
        <w:rPr>
          <w:rFonts w:cs="Arial"/>
          <w:sz w:val="24"/>
          <w:szCs w:val="24"/>
          <w:lang w:val="en-US"/>
        </w:rPr>
        <w:t>,</w:t>
      </w:r>
      <w:r w:rsidR="008B4A2C">
        <w:rPr>
          <w:rFonts w:cs="Arial"/>
          <w:sz w:val="24"/>
          <w:szCs w:val="24"/>
        </w:rPr>
        <w:t xml:space="preserve"> 67/2010,</w:t>
      </w:r>
      <w:r w:rsidR="008B4A2C" w:rsidRPr="00AE3C68">
        <w:rPr>
          <w:rFonts w:cs="Arial"/>
          <w:sz w:val="24"/>
          <w:szCs w:val="24"/>
        </w:rPr>
        <w:t xml:space="preserve"> 26/2013</w:t>
      </w:r>
      <w:r w:rsidR="008B4A2C">
        <w:rPr>
          <w:rFonts w:cs="Arial"/>
          <w:sz w:val="24"/>
          <w:szCs w:val="24"/>
          <w:lang w:val="en-US"/>
        </w:rPr>
        <w:t xml:space="preserve">, 15/2015 </w:t>
      </w:r>
      <w:r w:rsidR="008B4A2C">
        <w:rPr>
          <w:rFonts w:cs="Arial"/>
          <w:sz w:val="24"/>
          <w:szCs w:val="24"/>
        </w:rPr>
        <w:t>и</w:t>
      </w:r>
      <w:r w:rsidR="008B4A2C">
        <w:rPr>
          <w:rFonts w:cs="Arial"/>
          <w:sz w:val="24"/>
          <w:szCs w:val="24"/>
          <w:lang w:val="en-US"/>
        </w:rPr>
        <w:t xml:space="preserve"> 153/2015</w:t>
      </w:r>
      <w:r w:rsidR="00E97E28" w:rsidRPr="006B7092">
        <w:rPr>
          <w:rFonts w:cs="Arial"/>
          <w:sz w:val="24"/>
          <w:szCs w:val="24"/>
        </w:rPr>
        <w:t>)</w:t>
      </w:r>
      <w:r w:rsidRPr="006B7092">
        <w:rPr>
          <w:rFonts w:cs="Arial"/>
          <w:sz w:val="24"/>
          <w:szCs w:val="24"/>
        </w:rPr>
        <w:t>, член 114 од Статутот на КАПИТАЛ БАНКА АД Скопје и Годишниот план за работењето на Службата за внатрешна ревизија,</w:t>
      </w:r>
      <w:r w:rsidRPr="006B7092">
        <w:rPr>
          <w:rFonts w:cs="Arial"/>
          <w:sz w:val="24"/>
          <w:szCs w:val="24"/>
          <w:lang w:val="en-US"/>
        </w:rPr>
        <w:t xml:space="preserve"> </w:t>
      </w:r>
      <w:r w:rsidRPr="006B7092">
        <w:rPr>
          <w:rFonts w:cs="Arial"/>
          <w:sz w:val="24"/>
          <w:szCs w:val="24"/>
        </w:rPr>
        <w:t>Службата за внатрешна ревизија на Банкат</w:t>
      </w:r>
      <w:r w:rsidRPr="006B7092">
        <w:rPr>
          <w:rFonts w:cs="Arial"/>
          <w:sz w:val="24"/>
          <w:szCs w:val="24"/>
          <w:lang w:val="en-US"/>
        </w:rPr>
        <w:t>a</w:t>
      </w:r>
      <w:r w:rsidRPr="006B7092">
        <w:rPr>
          <w:rFonts w:cs="Arial"/>
          <w:sz w:val="24"/>
          <w:szCs w:val="24"/>
        </w:rPr>
        <w:t xml:space="preserve"> го поднесува овој </w:t>
      </w:r>
      <w:r w:rsidR="00F93EF1" w:rsidRPr="006B7092">
        <w:rPr>
          <w:rFonts w:cs="Arial"/>
          <w:sz w:val="24"/>
          <w:szCs w:val="24"/>
        </w:rPr>
        <w:t>Г</w:t>
      </w:r>
      <w:r w:rsidRPr="006B7092">
        <w:rPr>
          <w:rFonts w:cs="Arial"/>
          <w:sz w:val="24"/>
          <w:szCs w:val="24"/>
        </w:rPr>
        <w:t xml:space="preserve">одишен извештај за работењето на Службата за внатрешна ревизија </w:t>
      </w:r>
      <w:r w:rsidR="00525782" w:rsidRPr="006B7092">
        <w:rPr>
          <w:rFonts w:cs="Arial"/>
          <w:sz w:val="24"/>
          <w:szCs w:val="24"/>
        </w:rPr>
        <w:t>во текот на</w:t>
      </w:r>
      <w:r w:rsidRPr="006B7092">
        <w:rPr>
          <w:rFonts w:cs="Arial"/>
          <w:sz w:val="24"/>
          <w:szCs w:val="24"/>
        </w:rPr>
        <w:t xml:space="preserve"> </w:t>
      </w:r>
      <w:r w:rsidR="002B4C7B" w:rsidRPr="006B7092">
        <w:rPr>
          <w:rFonts w:cs="Arial"/>
          <w:sz w:val="24"/>
          <w:szCs w:val="24"/>
        </w:rPr>
        <w:t>201</w:t>
      </w:r>
      <w:r w:rsidR="008B4A2C">
        <w:rPr>
          <w:rFonts w:cs="Arial"/>
          <w:sz w:val="24"/>
          <w:szCs w:val="24"/>
        </w:rPr>
        <w:t>5</w:t>
      </w:r>
      <w:r w:rsidRPr="006B7092">
        <w:rPr>
          <w:rFonts w:cs="Arial"/>
          <w:sz w:val="24"/>
          <w:szCs w:val="24"/>
        </w:rPr>
        <w:t xml:space="preserve"> година.</w:t>
      </w:r>
    </w:p>
    <w:p w:rsidR="000723B0" w:rsidRPr="006B7092" w:rsidRDefault="000723B0" w:rsidP="006B7092">
      <w:pPr>
        <w:autoSpaceDE w:val="0"/>
        <w:autoSpaceDN w:val="0"/>
        <w:adjustRightInd w:val="0"/>
        <w:spacing w:after="0" w:line="240" w:lineRule="auto"/>
        <w:jc w:val="both"/>
        <w:rPr>
          <w:rFonts w:cs="Arial"/>
          <w:sz w:val="24"/>
          <w:szCs w:val="24"/>
        </w:rPr>
      </w:pPr>
    </w:p>
    <w:p w:rsidR="00553E7A" w:rsidRPr="006B7092" w:rsidRDefault="00553E7A" w:rsidP="006B7092">
      <w:pPr>
        <w:autoSpaceDE w:val="0"/>
        <w:autoSpaceDN w:val="0"/>
        <w:adjustRightInd w:val="0"/>
        <w:spacing w:after="0" w:line="240" w:lineRule="auto"/>
        <w:jc w:val="both"/>
        <w:rPr>
          <w:rFonts w:cs="Arial"/>
          <w:sz w:val="24"/>
          <w:szCs w:val="24"/>
        </w:rPr>
      </w:pPr>
      <w:r w:rsidRPr="006B7092">
        <w:rPr>
          <w:rFonts w:cs="Arial"/>
          <w:sz w:val="24"/>
          <w:szCs w:val="24"/>
        </w:rPr>
        <w:t>Извештајот за работењето на Службата за внатрешна ревизија согласно одредбите во споменатите акти ги содржи следните информации</w:t>
      </w:r>
      <w:r w:rsidRPr="006B7092">
        <w:rPr>
          <w:rFonts w:cs="Arial"/>
          <w:sz w:val="24"/>
          <w:szCs w:val="24"/>
          <w:lang w:val="en-US"/>
        </w:rPr>
        <w:t>:</w:t>
      </w:r>
    </w:p>
    <w:p w:rsidR="000723B0" w:rsidRPr="006B7092" w:rsidRDefault="000723B0" w:rsidP="006B7092">
      <w:pPr>
        <w:autoSpaceDE w:val="0"/>
        <w:autoSpaceDN w:val="0"/>
        <w:adjustRightInd w:val="0"/>
        <w:spacing w:after="0" w:line="240" w:lineRule="auto"/>
        <w:jc w:val="both"/>
        <w:rPr>
          <w:rFonts w:cs="Arial"/>
          <w:sz w:val="24"/>
          <w:szCs w:val="24"/>
        </w:rPr>
      </w:pPr>
    </w:p>
    <w:p w:rsidR="00553E7A" w:rsidRPr="006B7092" w:rsidRDefault="00553E7A" w:rsidP="006B7092">
      <w:pPr>
        <w:pStyle w:val="ListParagraph"/>
        <w:numPr>
          <w:ilvl w:val="0"/>
          <w:numId w:val="11"/>
        </w:numPr>
        <w:autoSpaceDE w:val="0"/>
        <w:autoSpaceDN w:val="0"/>
        <w:adjustRightInd w:val="0"/>
        <w:spacing w:after="0" w:line="240" w:lineRule="auto"/>
        <w:jc w:val="both"/>
        <w:rPr>
          <w:rFonts w:cs="Arial"/>
          <w:b/>
          <w:i/>
          <w:sz w:val="24"/>
          <w:szCs w:val="24"/>
        </w:rPr>
      </w:pPr>
      <w:r w:rsidRPr="006B7092">
        <w:rPr>
          <w:rFonts w:cs="Arial"/>
          <w:b/>
          <w:i/>
          <w:sz w:val="24"/>
          <w:szCs w:val="24"/>
        </w:rPr>
        <w:t>Опис на извршените ревизии на работењето на Банката</w:t>
      </w:r>
      <w:r w:rsidRPr="006B7092">
        <w:rPr>
          <w:rFonts w:cs="Arial"/>
          <w:b/>
          <w:i/>
          <w:sz w:val="24"/>
          <w:szCs w:val="24"/>
          <w:lang w:val="en-US"/>
        </w:rPr>
        <w:t>;</w:t>
      </w:r>
    </w:p>
    <w:p w:rsidR="000723B0" w:rsidRPr="006B7092" w:rsidRDefault="000723B0" w:rsidP="006B7092">
      <w:pPr>
        <w:pStyle w:val="ListParagraph"/>
        <w:autoSpaceDE w:val="0"/>
        <w:autoSpaceDN w:val="0"/>
        <w:adjustRightInd w:val="0"/>
        <w:spacing w:after="0" w:line="240" w:lineRule="auto"/>
        <w:jc w:val="both"/>
        <w:rPr>
          <w:rFonts w:cs="Arial"/>
          <w:b/>
          <w:i/>
          <w:sz w:val="24"/>
          <w:szCs w:val="24"/>
        </w:rPr>
      </w:pPr>
    </w:p>
    <w:p w:rsidR="00553E7A" w:rsidRPr="006B7092" w:rsidRDefault="00553E7A" w:rsidP="006B7092">
      <w:pPr>
        <w:pStyle w:val="ListParagraph"/>
        <w:numPr>
          <w:ilvl w:val="0"/>
          <w:numId w:val="11"/>
        </w:numPr>
        <w:autoSpaceDE w:val="0"/>
        <w:autoSpaceDN w:val="0"/>
        <w:adjustRightInd w:val="0"/>
        <w:spacing w:after="0" w:line="240" w:lineRule="auto"/>
        <w:jc w:val="both"/>
        <w:rPr>
          <w:rFonts w:cs="Arial"/>
          <w:b/>
          <w:i/>
          <w:sz w:val="24"/>
          <w:szCs w:val="24"/>
        </w:rPr>
      </w:pPr>
      <w:r w:rsidRPr="006B7092">
        <w:rPr>
          <w:rFonts w:cs="Arial"/>
          <w:b/>
          <w:i/>
          <w:sz w:val="24"/>
          <w:szCs w:val="24"/>
        </w:rPr>
        <w:t>Оценка на адекватноста и ефикасноста на системите за внатрешна контрола</w:t>
      </w:r>
      <w:r w:rsidRPr="006B7092">
        <w:rPr>
          <w:rFonts w:cs="Arial"/>
          <w:b/>
          <w:i/>
          <w:sz w:val="24"/>
          <w:szCs w:val="24"/>
          <w:lang w:val="en-US"/>
        </w:rPr>
        <w:t>;</w:t>
      </w:r>
    </w:p>
    <w:p w:rsidR="000723B0" w:rsidRPr="006B7092" w:rsidRDefault="000723B0" w:rsidP="006B7092">
      <w:pPr>
        <w:pStyle w:val="ListParagraph"/>
        <w:autoSpaceDE w:val="0"/>
        <w:autoSpaceDN w:val="0"/>
        <w:adjustRightInd w:val="0"/>
        <w:spacing w:after="0" w:line="240" w:lineRule="auto"/>
        <w:jc w:val="both"/>
        <w:rPr>
          <w:rFonts w:cs="Arial"/>
          <w:b/>
          <w:i/>
          <w:sz w:val="24"/>
          <w:szCs w:val="24"/>
        </w:rPr>
      </w:pPr>
    </w:p>
    <w:p w:rsidR="00553E7A" w:rsidRPr="006B7092" w:rsidRDefault="00553E7A" w:rsidP="006B7092">
      <w:pPr>
        <w:pStyle w:val="ListParagraph"/>
        <w:numPr>
          <w:ilvl w:val="0"/>
          <w:numId w:val="11"/>
        </w:numPr>
        <w:autoSpaceDE w:val="0"/>
        <w:autoSpaceDN w:val="0"/>
        <w:adjustRightInd w:val="0"/>
        <w:spacing w:after="0" w:line="240" w:lineRule="auto"/>
        <w:jc w:val="both"/>
        <w:rPr>
          <w:rFonts w:cs="Arial"/>
          <w:b/>
          <w:i/>
          <w:sz w:val="24"/>
          <w:szCs w:val="24"/>
        </w:rPr>
      </w:pPr>
      <w:r w:rsidRPr="006B7092">
        <w:rPr>
          <w:rFonts w:cs="Arial"/>
          <w:b/>
          <w:i/>
          <w:sz w:val="24"/>
          <w:szCs w:val="24"/>
        </w:rPr>
        <w:t>Наоди и предложени мерки на</w:t>
      </w:r>
      <w:r w:rsidR="000723B0" w:rsidRPr="006B7092">
        <w:rPr>
          <w:rFonts w:cs="Arial"/>
          <w:b/>
          <w:i/>
          <w:sz w:val="24"/>
          <w:szCs w:val="24"/>
        </w:rPr>
        <w:t xml:space="preserve"> Службата за внатрешна ревизија;</w:t>
      </w:r>
    </w:p>
    <w:p w:rsidR="000723B0" w:rsidRPr="006B7092" w:rsidRDefault="000723B0" w:rsidP="006B7092">
      <w:pPr>
        <w:pStyle w:val="ListParagraph"/>
        <w:autoSpaceDE w:val="0"/>
        <w:autoSpaceDN w:val="0"/>
        <w:adjustRightInd w:val="0"/>
        <w:spacing w:after="0" w:line="240" w:lineRule="auto"/>
        <w:jc w:val="both"/>
        <w:rPr>
          <w:rFonts w:cs="Arial"/>
          <w:b/>
          <w:i/>
          <w:sz w:val="24"/>
          <w:szCs w:val="24"/>
        </w:rPr>
      </w:pPr>
    </w:p>
    <w:p w:rsidR="00553E7A" w:rsidRPr="006B7092" w:rsidRDefault="00553E7A" w:rsidP="006B7092">
      <w:pPr>
        <w:pStyle w:val="ListParagraph"/>
        <w:numPr>
          <w:ilvl w:val="0"/>
          <w:numId w:val="11"/>
        </w:numPr>
        <w:autoSpaceDE w:val="0"/>
        <w:autoSpaceDN w:val="0"/>
        <w:adjustRightInd w:val="0"/>
        <w:spacing w:after="0" w:line="240" w:lineRule="auto"/>
        <w:jc w:val="both"/>
        <w:rPr>
          <w:rFonts w:cs="Arial"/>
          <w:b/>
          <w:i/>
          <w:sz w:val="24"/>
          <w:szCs w:val="24"/>
        </w:rPr>
      </w:pPr>
      <w:r w:rsidRPr="006B7092">
        <w:rPr>
          <w:rFonts w:cs="Arial"/>
          <w:b/>
          <w:i/>
          <w:sz w:val="24"/>
          <w:szCs w:val="24"/>
        </w:rPr>
        <w:t>Оценка на спроведување на мерките предложени од страна на Служ</w:t>
      </w:r>
      <w:r w:rsidR="00BF4330" w:rsidRPr="006B7092">
        <w:rPr>
          <w:rFonts w:cs="Arial"/>
          <w:b/>
          <w:i/>
          <w:sz w:val="24"/>
          <w:szCs w:val="24"/>
        </w:rPr>
        <w:t>бата за внатрешна ревизија;</w:t>
      </w:r>
    </w:p>
    <w:p w:rsidR="00BF4330" w:rsidRPr="006B7092" w:rsidRDefault="00BF4330" w:rsidP="006B7092">
      <w:pPr>
        <w:pStyle w:val="ListParagraph"/>
        <w:spacing w:after="0"/>
        <w:jc w:val="both"/>
        <w:rPr>
          <w:rFonts w:cs="Arial"/>
          <w:b/>
          <w:i/>
          <w:sz w:val="24"/>
          <w:szCs w:val="24"/>
        </w:rPr>
      </w:pPr>
    </w:p>
    <w:p w:rsidR="00E160F3" w:rsidRPr="006B7092" w:rsidRDefault="00E160F3" w:rsidP="006B7092">
      <w:pPr>
        <w:pStyle w:val="ListParagraph"/>
        <w:numPr>
          <w:ilvl w:val="0"/>
          <w:numId w:val="11"/>
        </w:numPr>
        <w:autoSpaceDE w:val="0"/>
        <w:autoSpaceDN w:val="0"/>
        <w:adjustRightInd w:val="0"/>
        <w:spacing w:after="0" w:line="240" w:lineRule="auto"/>
        <w:jc w:val="both"/>
        <w:rPr>
          <w:rFonts w:cs="Arial"/>
          <w:b/>
          <w:i/>
          <w:color w:val="000000"/>
          <w:sz w:val="24"/>
          <w:szCs w:val="24"/>
        </w:rPr>
      </w:pPr>
      <w:r w:rsidRPr="006B7092">
        <w:rPr>
          <w:rFonts w:cs="Arial"/>
          <w:b/>
          <w:i/>
          <w:color w:val="000000"/>
          <w:sz w:val="24"/>
          <w:szCs w:val="24"/>
        </w:rPr>
        <w:t>Оцена на реализација на поставените цели со Годишниот план за работа на Службата за внатрешна ревизија во 201</w:t>
      </w:r>
      <w:r w:rsidR="008B4A2C">
        <w:rPr>
          <w:rFonts w:cs="Arial"/>
          <w:b/>
          <w:i/>
          <w:color w:val="000000"/>
          <w:sz w:val="24"/>
          <w:szCs w:val="24"/>
        </w:rPr>
        <w:t>5</w:t>
      </w:r>
      <w:r w:rsidRPr="006B7092">
        <w:rPr>
          <w:rFonts w:cs="Arial"/>
          <w:b/>
          <w:i/>
          <w:color w:val="000000"/>
          <w:sz w:val="24"/>
          <w:szCs w:val="24"/>
        </w:rPr>
        <w:t xml:space="preserve"> година;</w:t>
      </w:r>
    </w:p>
    <w:p w:rsidR="00E160F3" w:rsidRPr="006B7092" w:rsidRDefault="00E160F3" w:rsidP="006B7092">
      <w:pPr>
        <w:pStyle w:val="ListParagraph"/>
        <w:spacing w:after="0"/>
        <w:jc w:val="both"/>
        <w:rPr>
          <w:rFonts w:cs="Arial"/>
          <w:b/>
          <w:i/>
          <w:color w:val="000000"/>
          <w:sz w:val="24"/>
          <w:szCs w:val="24"/>
        </w:rPr>
      </w:pPr>
    </w:p>
    <w:p w:rsidR="00E160F3" w:rsidRPr="006B7092" w:rsidRDefault="00E160F3" w:rsidP="006B7092">
      <w:pPr>
        <w:pStyle w:val="ListParagraph"/>
        <w:numPr>
          <w:ilvl w:val="0"/>
          <w:numId w:val="11"/>
        </w:numPr>
        <w:autoSpaceDE w:val="0"/>
        <w:autoSpaceDN w:val="0"/>
        <w:adjustRightInd w:val="0"/>
        <w:spacing w:after="0" w:line="240" w:lineRule="auto"/>
        <w:jc w:val="both"/>
        <w:rPr>
          <w:rFonts w:cs="Arial"/>
          <w:b/>
          <w:i/>
          <w:color w:val="000000"/>
          <w:sz w:val="24"/>
          <w:szCs w:val="24"/>
        </w:rPr>
      </w:pPr>
      <w:r w:rsidRPr="006B7092">
        <w:rPr>
          <w:rFonts w:cs="Arial"/>
          <w:b/>
          <w:i/>
          <w:color w:val="000000"/>
          <w:sz w:val="24"/>
          <w:szCs w:val="24"/>
        </w:rPr>
        <w:t>Оцена за планираното време за контрола и евентуалното отстапување и</w:t>
      </w:r>
    </w:p>
    <w:p w:rsidR="00E160F3" w:rsidRPr="006B7092" w:rsidRDefault="00E160F3" w:rsidP="006B7092">
      <w:pPr>
        <w:pStyle w:val="ListParagraph"/>
        <w:spacing w:after="0"/>
        <w:jc w:val="both"/>
        <w:rPr>
          <w:rFonts w:cs="Arial"/>
          <w:b/>
          <w:i/>
          <w:color w:val="000000"/>
          <w:sz w:val="24"/>
          <w:szCs w:val="24"/>
          <w:lang w:val="en-US"/>
        </w:rPr>
      </w:pPr>
    </w:p>
    <w:p w:rsidR="00E160F3" w:rsidRPr="006B7092" w:rsidRDefault="00E160F3" w:rsidP="006B7092">
      <w:pPr>
        <w:pStyle w:val="ListParagraph"/>
        <w:numPr>
          <w:ilvl w:val="0"/>
          <w:numId w:val="11"/>
        </w:numPr>
        <w:autoSpaceDE w:val="0"/>
        <w:autoSpaceDN w:val="0"/>
        <w:adjustRightInd w:val="0"/>
        <w:spacing w:after="0" w:line="240" w:lineRule="auto"/>
        <w:jc w:val="both"/>
        <w:rPr>
          <w:rFonts w:cs="Arial"/>
          <w:b/>
          <w:i/>
          <w:color w:val="000000"/>
          <w:sz w:val="24"/>
          <w:szCs w:val="24"/>
        </w:rPr>
      </w:pPr>
      <w:r w:rsidRPr="006B7092">
        <w:rPr>
          <w:rFonts w:cs="Arial"/>
          <w:b/>
          <w:i/>
          <w:color w:val="000000"/>
          <w:sz w:val="24"/>
          <w:szCs w:val="24"/>
          <w:lang w:val="en-US"/>
        </w:rPr>
        <w:t>O</w:t>
      </w:r>
      <w:r w:rsidRPr="006B7092">
        <w:rPr>
          <w:rFonts w:cs="Arial"/>
          <w:b/>
          <w:i/>
          <w:color w:val="000000"/>
          <w:sz w:val="24"/>
          <w:szCs w:val="24"/>
        </w:rPr>
        <w:t>станати активности на Службата за вн</w:t>
      </w:r>
      <w:r w:rsidRPr="006B7092">
        <w:rPr>
          <w:rFonts w:cs="Arial"/>
          <w:b/>
          <w:i/>
          <w:color w:val="000000"/>
          <w:sz w:val="24"/>
          <w:szCs w:val="24"/>
          <w:lang w:val="en-US"/>
        </w:rPr>
        <w:t>a</w:t>
      </w:r>
      <w:r w:rsidRPr="006B7092">
        <w:rPr>
          <w:rFonts w:cs="Arial"/>
          <w:b/>
          <w:i/>
          <w:color w:val="000000"/>
          <w:sz w:val="24"/>
          <w:szCs w:val="24"/>
        </w:rPr>
        <w:t>трешна ревизија во текот на 201</w:t>
      </w:r>
      <w:r w:rsidR="008B4A2C">
        <w:rPr>
          <w:rFonts w:cs="Arial"/>
          <w:b/>
          <w:i/>
          <w:color w:val="000000"/>
          <w:sz w:val="24"/>
          <w:szCs w:val="24"/>
        </w:rPr>
        <w:t>5</w:t>
      </w:r>
      <w:r w:rsidRPr="006B7092">
        <w:rPr>
          <w:rFonts w:cs="Arial"/>
          <w:b/>
          <w:i/>
          <w:color w:val="000000"/>
          <w:sz w:val="24"/>
          <w:szCs w:val="24"/>
        </w:rPr>
        <w:t xml:space="preserve"> година.</w:t>
      </w:r>
    </w:p>
    <w:p w:rsidR="00553E7A" w:rsidRPr="006B7092" w:rsidRDefault="00553E7A" w:rsidP="006B7092">
      <w:pPr>
        <w:autoSpaceDE w:val="0"/>
        <w:autoSpaceDN w:val="0"/>
        <w:adjustRightInd w:val="0"/>
        <w:spacing w:after="0" w:line="240" w:lineRule="auto"/>
        <w:ind w:left="360"/>
        <w:jc w:val="both"/>
        <w:rPr>
          <w:rFonts w:cs="Arial"/>
          <w:sz w:val="24"/>
          <w:szCs w:val="24"/>
        </w:rPr>
      </w:pPr>
    </w:p>
    <w:p w:rsidR="00553E7A" w:rsidRPr="006B7092" w:rsidRDefault="00553E7A" w:rsidP="006B7092">
      <w:pPr>
        <w:autoSpaceDE w:val="0"/>
        <w:autoSpaceDN w:val="0"/>
        <w:adjustRightInd w:val="0"/>
        <w:spacing w:after="0" w:line="240" w:lineRule="auto"/>
        <w:jc w:val="both"/>
        <w:rPr>
          <w:rFonts w:cs="Arial"/>
          <w:sz w:val="24"/>
          <w:szCs w:val="24"/>
        </w:rPr>
      </w:pPr>
      <w:r w:rsidRPr="006B7092">
        <w:rPr>
          <w:rFonts w:cs="Arial"/>
          <w:sz w:val="24"/>
          <w:szCs w:val="24"/>
        </w:rPr>
        <w:t xml:space="preserve">Службата за внатрешна ревизија, поаѓајќи од ризичниот профил на банкарското работење, структурата на средствата и обврските, видовите </w:t>
      </w:r>
      <w:r w:rsidR="004760FB" w:rsidRPr="006B7092">
        <w:rPr>
          <w:rFonts w:cs="Arial"/>
          <w:sz w:val="24"/>
          <w:szCs w:val="24"/>
        </w:rPr>
        <w:t xml:space="preserve">на </w:t>
      </w:r>
      <w:r w:rsidRPr="006B7092">
        <w:rPr>
          <w:rFonts w:cs="Arial"/>
          <w:sz w:val="24"/>
          <w:szCs w:val="24"/>
        </w:rPr>
        <w:t>кредитни и депозитни производи, носечките</w:t>
      </w:r>
      <w:r w:rsidRPr="006B7092">
        <w:rPr>
          <w:rFonts w:cs="Arial"/>
          <w:sz w:val="24"/>
          <w:szCs w:val="24"/>
          <w:lang w:val="en-US"/>
        </w:rPr>
        <w:t xml:space="preserve"> </w:t>
      </w:r>
      <w:r w:rsidRPr="006B7092">
        <w:rPr>
          <w:rFonts w:cs="Arial"/>
          <w:sz w:val="24"/>
          <w:szCs w:val="24"/>
        </w:rPr>
        <w:t>деловни активн</w:t>
      </w:r>
      <w:r w:rsidR="004760FB" w:rsidRPr="006B7092">
        <w:rPr>
          <w:rFonts w:cs="Arial"/>
          <w:sz w:val="24"/>
          <w:szCs w:val="24"/>
        </w:rPr>
        <w:t>ости во Банката, во текот на 201</w:t>
      </w:r>
      <w:r w:rsidR="008B4A2C">
        <w:rPr>
          <w:rFonts w:cs="Arial"/>
          <w:sz w:val="24"/>
          <w:szCs w:val="24"/>
        </w:rPr>
        <w:t>5</w:t>
      </w:r>
      <w:r w:rsidRPr="006B7092">
        <w:rPr>
          <w:rFonts w:cs="Arial"/>
          <w:sz w:val="24"/>
          <w:szCs w:val="24"/>
        </w:rPr>
        <w:t xml:space="preserve"> година ги насочи своите активности на ревидирање на процесите на следење и управување</w:t>
      </w:r>
      <w:r w:rsidR="004760FB" w:rsidRPr="006B7092">
        <w:rPr>
          <w:rFonts w:cs="Arial"/>
          <w:sz w:val="24"/>
          <w:szCs w:val="24"/>
        </w:rPr>
        <w:t xml:space="preserve"> со </w:t>
      </w:r>
      <w:r w:rsidRPr="006B7092">
        <w:rPr>
          <w:rFonts w:cs="Arial"/>
          <w:sz w:val="24"/>
          <w:szCs w:val="24"/>
        </w:rPr>
        <w:t xml:space="preserve"> ризици</w:t>
      </w:r>
      <w:r w:rsidRPr="006B7092">
        <w:rPr>
          <w:rFonts w:cs="Arial"/>
          <w:sz w:val="24"/>
          <w:szCs w:val="24"/>
          <w:lang w:val="en-US"/>
        </w:rPr>
        <w:t xml:space="preserve"> </w:t>
      </w:r>
      <w:r w:rsidRPr="006B7092">
        <w:rPr>
          <w:rFonts w:cs="Arial"/>
          <w:sz w:val="24"/>
          <w:szCs w:val="24"/>
        </w:rPr>
        <w:t>кои се манифестираат во деловните процеси на Банката.</w:t>
      </w:r>
      <w:r w:rsidR="00546ED3" w:rsidRPr="006B7092">
        <w:rPr>
          <w:rFonts w:cs="Arial"/>
          <w:sz w:val="24"/>
          <w:szCs w:val="24"/>
        </w:rPr>
        <w:t xml:space="preserve"> Исто така</w:t>
      </w:r>
      <w:r w:rsidR="002A63EC" w:rsidRPr="006B7092">
        <w:rPr>
          <w:rFonts w:cs="Arial"/>
          <w:sz w:val="24"/>
          <w:szCs w:val="24"/>
        </w:rPr>
        <w:t>,</w:t>
      </w:r>
      <w:r w:rsidR="00546ED3" w:rsidRPr="006B7092">
        <w:rPr>
          <w:rFonts w:cs="Arial"/>
          <w:sz w:val="24"/>
          <w:szCs w:val="24"/>
        </w:rPr>
        <w:t xml:space="preserve"> </w:t>
      </w:r>
      <w:r w:rsidR="00B02BD2" w:rsidRPr="006B7092">
        <w:rPr>
          <w:rFonts w:cs="Arial"/>
          <w:sz w:val="24"/>
          <w:szCs w:val="24"/>
        </w:rPr>
        <w:t xml:space="preserve">Службата за внатрешна ревизија </w:t>
      </w:r>
      <w:r w:rsidR="00546ED3" w:rsidRPr="006B7092">
        <w:rPr>
          <w:rFonts w:cs="Arial"/>
          <w:sz w:val="24"/>
          <w:szCs w:val="24"/>
        </w:rPr>
        <w:t>ги насочи своите активности во утврдување на точноста и веродостојноста на финансиските извештаи, доследноста во спроведувањето на Програмата за спречување на перење на пари</w:t>
      </w:r>
      <w:r w:rsidR="00F17373" w:rsidRPr="006B7092">
        <w:rPr>
          <w:rFonts w:cs="Arial"/>
          <w:sz w:val="24"/>
          <w:szCs w:val="24"/>
        </w:rPr>
        <w:t>.</w:t>
      </w:r>
      <w:r w:rsidR="0069582C" w:rsidRPr="006B7092">
        <w:rPr>
          <w:rFonts w:cs="Arial"/>
          <w:sz w:val="24"/>
          <w:szCs w:val="24"/>
        </w:rPr>
        <w:t xml:space="preserve"> </w:t>
      </w:r>
      <w:r w:rsidR="00B02BD2" w:rsidRPr="006B7092">
        <w:rPr>
          <w:rFonts w:cs="Arial"/>
          <w:sz w:val="24"/>
          <w:szCs w:val="24"/>
        </w:rPr>
        <w:t xml:space="preserve">Службата за внатрешна ревизија </w:t>
      </w:r>
      <w:r w:rsidR="00F17373" w:rsidRPr="006B7092">
        <w:rPr>
          <w:rFonts w:cs="Arial"/>
          <w:sz w:val="24"/>
          <w:szCs w:val="24"/>
        </w:rPr>
        <w:t>исто така ги насочи своите активности и кон проверка на точноста,</w:t>
      </w:r>
      <w:r w:rsidR="00373746" w:rsidRPr="006B7092">
        <w:rPr>
          <w:rFonts w:cs="Arial"/>
          <w:sz w:val="24"/>
          <w:szCs w:val="24"/>
        </w:rPr>
        <w:t xml:space="preserve"> </w:t>
      </w:r>
      <w:r w:rsidR="00F17373" w:rsidRPr="006B7092">
        <w:rPr>
          <w:rFonts w:cs="Arial"/>
          <w:sz w:val="24"/>
          <w:szCs w:val="24"/>
        </w:rPr>
        <w:t>веродостојноста и навременоста во известувањето согласно со законската регулатива,</w:t>
      </w:r>
      <w:r w:rsidR="00580FD5" w:rsidRPr="006B7092">
        <w:rPr>
          <w:rFonts w:cs="Arial"/>
          <w:sz w:val="24"/>
          <w:szCs w:val="24"/>
        </w:rPr>
        <w:t xml:space="preserve"> во следење на почитување на интерните политики и процедури како и континуирано следење на почитување на супервизирските стандарди.</w:t>
      </w:r>
    </w:p>
    <w:p w:rsidR="00373746" w:rsidRPr="006B7092" w:rsidRDefault="00373746" w:rsidP="006B7092">
      <w:pPr>
        <w:autoSpaceDE w:val="0"/>
        <w:autoSpaceDN w:val="0"/>
        <w:adjustRightInd w:val="0"/>
        <w:spacing w:after="0" w:line="240" w:lineRule="auto"/>
        <w:jc w:val="both"/>
        <w:rPr>
          <w:rFonts w:cs="Arial"/>
          <w:sz w:val="24"/>
          <w:szCs w:val="24"/>
        </w:rPr>
      </w:pPr>
    </w:p>
    <w:p w:rsidR="00D44A33" w:rsidRPr="006B7092" w:rsidRDefault="00553E7A" w:rsidP="006B7092">
      <w:pPr>
        <w:autoSpaceDE w:val="0"/>
        <w:autoSpaceDN w:val="0"/>
        <w:adjustRightInd w:val="0"/>
        <w:spacing w:after="0" w:line="240" w:lineRule="auto"/>
        <w:jc w:val="both"/>
        <w:rPr>
          <w:rFonts w:cs="Arial"/>
          <w:b/>
          <w:sz w:val="24"/>
          <w:szCs w:val="24"/>
        </w:rPr>
      </w:pPr>
      <w:r w:rsidRPr="006B7092">
        <w:rPr>
          <w:rFonts w:cs="Arial"/>
          <w:sz w:val="24"/>
          <w:szCs w:val="24"/>
        </w:rPr>
        <w:t xml:space="preserve">Во текот на спроведувањето на своите активности, Службата за внатрешна ревизија првенствено и единствено се раководеше од целите да обезбеди независна оценка на адекватноста и ефикасноста на системите за </w:t>
      </w:r>
      <w:r w:rsidR="00D50E37" w:rsidRPr="006B7092">
        <w:rPr>
          <w:rFonts w:cs="Arial"/>
          <w:sz w:val="24"/>
          <w:szCs w:val="24"/>
        </w:rPr>
        <w:t>интерна</w:t>
      </w:r>
      <w:r w:rsidRPr="006B7092">
        <w:rPr>
          <w:rFonts w:cs="Arial"/>
          <w:sz w:val="24"/>
          <w:szCs w:val="24"/>
        </w:rPr>
        <w:t xml:space="preserve"> контрола, како и на адекватноста на воспоставените политики и процедури на Банката и нивна усогласеност со законската регулатива.</w:t>
      </w:r>
      <w:r w:rsidR="00D44A33" w:rsidRPr="006B7092">
        <w:rPr>
          <w:rFonts w:cs="Arial"/>
          <w:b/>
          <w:sz w:val="24"/>
          <w:szCs w:val="24"/>
        </w:rPr>
        <w:br w:type="page"/>
      </w:r>
    </w:p>
    <w:p w:rsidR="00553E7A" w:rsidRPr="006B7092" w:rsidRDefault="00553E7A" w:rsidP="006B7092">
      <w:pPr>
        <w:pStyle w:val="ListParagraph"/>
        <w:numPr>
          <w:ilvl w:val="0"/>
          <w:numId w:val="12"/>
        </w:numPr>
        <w:autoSpaceDE w:val="0"/>
        <w:autoSpaceDN w:val="0"/>
        <w:adjustRightInd w:val="0"/>
        <w:spacing w:after="0" w:line="240" w:lineRule="auto"/>
        <w:jc w:val="both"/>
        <w:rPr>
          <w:rFonts w:cs="Arial"/>
          <w:b/>
          <w:i/>
          <w:sz w:val="24"/>
          <w:szCs w:val="24"/>
        </w:rPr>
      </w:pPr>
      <w:r w:rsidRPr="006B7092">
        <w:rPr>
          <w:rFonts w:cs="Arial"/>
          <w:b/>
          <w:i/>
          <w:sz w:val="24"/>
          <w:szCs w:val="24"/>
        </w:rPr>
        <w:lastRenderedPageBreak/>
        <w:t>Опис на извршените поединечни ревизии во Банката</w:t>
      </w:r>
    </w:p>
    <w:p w:rsidR="00553E7A" w:rsidRPr="006B7092" w:rsidRDefault="00553E7A" w:rsidP="006B7092">
      <w:pPr>
        <w:autoSpaceDE w:val="0"/>
        <w:autoSpaceDN w:val="0"/>
        <w:adjustRightInd w:val="0"/>
        <w:spacing w:after="0" w:line="240" w:lineRule="auto"/>
        <w:ind w:firstLine="720"/>
        <w:jc w:val="both"/>
        <w:rPr>
          <w:rFonts w:cs="Arial"/>
          <w:b/>
          <w:sz w:val="24"/>
          <w:szCs w:val="24"/>
        </w:rPr>
      </w:pPr>
    </w:p>
    <w:p w:rsidR="00553E7A" w:rsidRPr="006B7092" w:rsidRDefault="00553E7A" w:rsidP="006B7092">
      <w:pPr>
        <w:autoSpaceDE w:val="0"/>
        <w:autoSpaceDN w:val="0"/>
        <w:adjustRightInd w:val="0"/>
        <w:spacing w:after="0" w:line="240" w:lineRule="auto"/>
        <w:jc w:val="both"/>
        <w:rPr>
          <w:rFonts w:cs="Arial"/>
          <w:sz w:val="24"/>
          <w:szCs w:val="24"/>
          <w:lang w:val="en-US"/>
        </w:rPr>
      </w:pPr>
      <w:r w:rsidRPr="006B7092">
        <w:rPr>
          <w:rFonts w:cs="Arial"/>
          <w:sz w:val="24"/>
          <w:szCs w:val="24"/>
        </w:rPr>
        <w:t xml:space="preserve">Во текот на </w:t>
      </w:r>
      <w:r w:rsidR="00DC4A27" w:rsidRPr="006B7092">
        <w:rPr>
          <w:rFonts w:cs="Arial"/>
          <w:sz w:val="24"/>
          <w:szCs w:val="24"/>
        </w:rPr>
        <w:t>201</w:t>
      </w:r>
      <w:r w:rsidR="0071316A">
        <w:rPr>
          <w:rFonts w:cs="Arial"/>
          <w:sz w:val="24"/>
          <w:szCs w:val="24"/>
        </w:rPr>
        <w:t>5</w:t>
      </w:r>
      <w:r w:rsidRPr="006B7092">
        <w:rPr>
          <w:rFonts w:cs="Arial"/>
          <w:sz w:val="24"/>
          <w:szCs w:val="24"/>
        </w:rPr>
        <w:t xml:space="preserve"> година се извршени поединечни ревизии, согласно распоредот и динамиката од Годишниот план за работа на Служб</w:t>
      </w:r>
      <w:r w:rsidR="00DC4A27" w:rsidRPr="006B7092">
        <w:rPr>
          <w:rFonts w:cs="Arial"/>
          <w:sz w:val="24"/>
          <w:szCs w:val="24"/>
        </w:rPr>
        <w:t>ата за внатрешна ревизија за 201</w:t>
      </w:r>
      <w:r w:rsidR="002320CB">
        <w:rPr>
          <w:rFonts w:cs="Arial"/>
          <w:sz w:val="24"/>
          <w:szCs w:val="24"/>
        </w:rPr>
        <w:t>5</w:t>
      </w:r>
      <w:r w:rsidRPr="006B7092">
        <w:rPr>
          <w:rFonts w:cs="Arial"/>
          <w:sz w:val="24"/>
          <w:szCs w:val="24"/>
        </w:rPr>
        <w:t xml:space="preserve"> година</w:t>
      </w:r>
      <w:r w:rsidRPr="006B7092">
        <w:rPr>
          <w:rFonts w:cs="Arial"/>
          <w:sz w:val="24"/>
          <w:szCs w:val="24"/>
          <w:lang w:val="en-US"/>
        </w:rPr>
        <w:t xml:space="preserve">, </w:t>
      </w:r>
      <w:r w:rsidR="009A43BF" w:rsidRPr="006B7092">
        <w:rPr>
          <w:rFonts w:cs="Arial"/>
          <w:sz w:val="24"/>
          <w:szCs w:val="24"/>
        </w:rPr>
        <w:t xml:space="preserve">како и вонредни ревизии, </w:t>
      </w:r>
      <w:r w:rsidRPr="006B7092">
        <w:rPr>
          <w:rFonts w:cs="Arial"/>
          <w:sz w:val="24"/>
          <w:szCs w:val="24"/>
        </w:rPr>
        <w:t>во следните области од работењето на Банката</w:t>
      </w:r>
      <w:r w:rsidRPr="006B7092">
        <w:rPr>
          <w:rFonts w:cs="Arial"/>
          <w:sz w:val="24"/>
          <w:szCs w:val="24"/>
          <w:lang w:val="en-US"/>
        </w:rPr>
        <w:t>:</w:t>
      </w:r>
      <w:r w:rsidRPr="006B7092">
        <w:rPr>
          <w:rFonts w:cs="Arial"/>
          <w:sz w:val="24"/>
          <w:szCs w:val="24"/>
        </w:rPr>
        <w:t xml:space="preserve"> </w:t>
      </w:r>
    </w:p>
    <w:p w:rsidR="00667F85" w:rsidRPr="006B7092" w:rsidRDefault="00667F85" w:rsidP="006B7092">
      <w:pPr>
        <w:pStyle w:val="ListParagraph"/>
        <w:autoSpaceDE w:val="0"/>
        <w:autoSpaceDN w:val="0"/>
        <w:adjustRightInd w:val="0"/>
        <w:spacing w:after="0" w:line="240" w:lineRule="auto"/>
        <w:jc w:val="both"/>
        <w:rPr>
          <w:rFonts w:cs="Arial"/>
          <w:sz w:val="24"/>
          <w:szCs w:val="24"/>
        </w:rPr>
      </w:pPr>
    </w:p>
    <w:p w:rsidR="00963B9B" w:rsidRPr="006B7092" w:rsidRDefault="00963B9B" w:rsidP="006B7092">
      <w:pPr>
        <w:pStyle w:val="Default"/>
        <w:numPr>
          <w:ilvl w:val="0"/>
          <w:numId w:val="5"/>
        </w:numPr>
        <w:jc w:val="both"/>
        <w:rPr>
          <w:rFonts w:asciiTheme="minorHAnsi" w:hAnsiTheme="minorHAnsi" w:cs="Arial"/>
          <w:b/>
          <w:i/>
          <w:color w:val="auto"/>
        </w:rPr>
      </w:pPr>
      <w:r w:rsidRPr="006B7092">
        <w:rPr>
          <w:rFonts w:asciiTheme="minorHAnsi" w:hAnsiTheme="minorHAnsi" w:cs="Arial"/>
          <w:b/>
          <w:i/>
          <w:color w:val="auto"/>
        </w:rPr>
        <w:t>Редовни ревизии:</w:t>
      </w:r>
    </w:p>
    <w:p w:rsidR="00403D63" w:rsidRPr="006B7092" w:rsidRDefault="00403D63" w:rsidP="006B7092">
      <w:pPr>
        <w:spacing w:after="0"/>
        <w:rPr>
          <w:rFonts w:cs="Arial"/>
          <w:sz w:val="24"/>
          <w:szCs w:val="24"/>
        </w:rPr>
      </w:pPr>
    </w:p>
    <w:p w:rsidR="00143C0F" w:rsidRPr="00C9475F" w:rsidRDefault="00143C0F" w:rsidP="00143C0F">
      <w:pPr>
        <w:pStyle w:val="ListParagraph"/>
        <w:numPr>
          <w:ilvl w:val="0"/>
          <w:numId w:val="16"/>
        </w:numPr>
        <w:spacing w:after="0"/>
        <w:jc w:val="both"/>
        <w:rPr>
          <w:rFonts w:eastAsia="Calibri" w:cs="Arial"/>
          <w:b/>
          <w:sz w:val="24"/>
          <w:szCs w:val="24"/>
        </w:rPr>
      </w:pPr>
      <w:r w:rsidRPr="00C9475F">
        <w:rPr>
          <w:rFonts w:cs="Arial"/>
          <w:b/>
          <w:sz w:val="24"/>
          <w:szCs w:val="24"/>
        </w:rPr>
        <w:t>Извештај за извршена внатрешна ревизија на Процес на утврдување на адекватност на капиталот (АК) до 30.11.2014 година.</w:t>
      </w:r>
    </w:p>
    <w:p w:rsidR="00143C0F" w:rsidRPr="00C9475F" w:rsidRDefault="00143C0F" w:rsidP="00143C0F">
      <w:pPr>
        <w:pStyle w:val="ListParagraph"/>
        <w:spacing w:after="0"/>
        <w:jc w:val="both"/>
        <w:rPr>
          <w:rFonts w:eastAsia="Calibri" w:cs="Arial"/>
          <w:sz w:val="24"/>
          <w:szCs w:val="24"/>
        </w:rPr>
      </w:pPr>
    </w:p>
    <w:p w:rsidR="00143C0F" w:rsidRPr="00C9475F" w:rsidRDefault="00143C0F" w:rsidP="00143C0F">
      <w:pPr>
        <w:pStyle w:val="ListParagraph"/>
        <w:spacing w:after="0"/>
        <w:jc w:val="both"/>
        <w:rPr>
          <w:rFonts w:eastAsia="Calibri" w:cs="Times New Roman"/>
          <w:sz w:val="24"/>
          <w:szCs w:val="24"/>
        </w:rPr>
      </w:pPr>
      <w:r w:rsidRPr="00C9475F">
        <w:rPr>
          <w:rFonts w:eastAsia="Calibri" w:cs="Arial"/>
          <w:sz w:val="24"/>
          <w:szCs w:val="24"/>
        </w:rPr>
        <w:t xml:space="preserve">Беше извршена ревизија на </w:t>
      </w:r>
      <w:r w:rsidRPr="00C9475F">
        <w:rPr>
          <w:rFonts w:cs="Arial"/>
          <w:sz w:val="24"/>
          <w:szCs w:val="24"/>
        </w:rPr>
        <w:t>п</w:t>
      </w:r>
      <w:r w:rsidRPr="00C9475F">
        <w:rPr>
          <w:rFonts w:eastAsia="Calibri" w:cs="Arial"/>
          <w:sz w:val="24"/>
          <w:szCs w:val="24"/>
        </w:rPr>
        <w:t>очитување на одредбите од законската регулатива</w:t>
      </w:r>
      <w:r w:rsidRPr="00C9475F">
        <w:rPr>
          <w:rFonts w:cs="Arial"/>
          <w:sz w:val="24"/>
          <w:szCs w:val="24"/>
        </w:rPr>
        <w:t xml:space="preserve">, односно на </w:t>
      </w:r>
      <w:r w:rsidRPr="00C9475F">
        <w:rPr>
          <w:rFonts w:eastAsia="Calibri" w:cs="Times New Roman"/>
          <w:sz w:val="24"/>
          <w:szCs w:val="24"/>
        </w:rPr>
        <w:t>Закон за банките („Службен весник на Р.Македонија“ бр. 67/07, 90/09, 67/10 и 26/13) “ бр. 42/2011),</w:t>
      </w:r>
      <w:r w:rsidRPr="00C9475F">
        <w:rPr>
          <w:sz w:val="24"/>
          <w:szCs w:val="24"/>
        </w:rPr>
        <w:t xml:space="preserve"> </w:t>
      </w:r>
      <w:r w:rsidRPr="00C9475F">
        <w:rPr>
          <w:rFonts w:eastAsia="Calibri" w:cs="Times New Roman"/>
          <w:sz w:val="24"/>
          <w:szCs w:val="24"/>
        </w:rPr>
        <w:t>Одлука за методологијата за утврдување на адекватноста на капиталот  („Службен весник на Р. Македонија“ бр. 47/12), Одлука за изменување и дополнување на Одлуката за методологијата за утврдување на адекватноста на капиталот („Службен весник на Р. Македонија“ бр. 50/13),</w:t>
      </w:r>
      <w:r w:rsidRPr="00C9475F">
        <w:rPr>
          <w:sz w:val="24"/>
          <w:szCs w:val="24"/>
        </w:rPr>
        <w:t xml:space="preserve"> </w:t>
      </w:r>
      <w:r w:rsidRPr="00C9475F">
        <w:rPr>
          <w:rFonts w:eastAsia="Calibri" w:cs="Times New Roman"/>
          <w:sz w:val="24"/>
          <w:szCs w:val="24"/>
        </w:rPr>
        <w:t>Одлука за изменување и дополнување на Одлуката за методологијата за утврдување на адекватноста на капиталот („Службен весник на Р. Македонија“ бр. 71/14),</w:t>
      </w:r>
      <w:r w:rsidRPr="00C9475F">
        <w:rPr>
          <w:sz w:val="24"/>
          <w:szCs w:val="24"/>
        </w:rPr>
        <w:t xml:space="preserve"> </w:t>
      </w:r>
      <w:r w:rsidRPr="00C9475F">
        <w:rPr>
          <w:rFonts w:eastAsia="Calibri" w:cs="Times New Roman"/>
          <w:sz w:val="24"/>
          <w:szCs w:val="24"/>
        </w:rPr>
        <w:t>Упатство за спроведување на Одлука за методологијата за утврдување на адекватноста на капиталот  („Службен весник на Р. Македонија“ бр. 63/12 и 65/12) и</w:t>
      </w:r>
      <w:r w:rsidRPr="00C9475F">
        <w:rPr>
          <w:sz w:val="24"/>
          <w:szCs w:val="24"/>
        </w:rPr>
        <w:t xml:space="preserve"> </w:t>
      </w:r>
      <w:r w:rsidRPr="00C9475F">
        <w:rPr>
          <w:rFonts w:eastAsia="Calibri" w:cs="Times New Roman"/>
          <w:sz w:val="24"/>
          <w:szCs w:val="24"/>
        </w:rPr>
        <w:t>Упатство за изменување на упатството за спроведување на Одлука за методологијата за утврдување на адекватноста на капиталот  („Службен весни</w:t>
      </w:r>
      <w:r w:rsidRPr="00C9475F">
        <w:rPr>
          <w:sz w:val="24"/>
          <w:szCs w:val="24"/>
        </w:rPr>
        <w:t>к на Р. Македонија“ бр. 109/12), ако и на п</w:t>
      </w:r>
      <w:r w:rsidRPr="00C9475F">
        <w:rPr>
          <w:rFonts w:eastAsia="Calibri" w:cs="Arial"/>
          <w:sz w:val="24"/>
          <w:szCs w:val="24"/>
        </w:rPr>
        <w:t>очитување на интерните акти</w:t>
      </w:r>
      <w:r w:rsidRPr="00C9475F">
        <w:rPr>
          <w:rFonts w:cs="Arial"/>
          <w:sz w:val="24"/>
          <w:szCs w:val="24"/>
        </w:rPr>
        <w:t xml:space="preserve">, односно на </w:t>
      </w:r>
      <w:bookmarkStart w:id="0" w:name="_Toc347700743"/>
      <w:bookmarkStart w:id="1" w:name="_Toc347700804"/>
      <w:bookmarkStart w:id="2" w:name="_Toc356997080"/>
      <w:bookmarkStart w:id="3" w:name="_Toc357067920"/>
      <w:bookmarkStart w:id="4" w:name="_Toc357069454"/>
      <w:bookmarkStart w:id="5" w:name="_Toc360453155"/>
      <w:r w:rsidRPr="00C9475F">
        <w:rPr>
          <w:rFonts w:eastAsia="Calibri" w:cs="Times New Roman"/>
          <w:sz w:val="24"/>
          <w:szCs w:val="24"/>
        </w:rPr>
        <w:t>Методологија за утврдување на</w:t>
      </w:r>
      <w:bookmarkEnd w:id="0"/>
      <w:bookmarkEnd w:id="1"/>
      <w:bookmarkEnd w:id="2"/>
      <w:bookmarkEnd w:id="3"/>
      <w:bookmarkEnd w:id="4"/>
      <w:bookmarkEnd w:id="5"/>
      <w:r w:rsidRPr="00C9475F">
        <w:rPr>
          <w:rFonts w:eastAsia="Calibri" w:cs="Times New Roman"/>
          <w:sz w:val="24"/>
          <w:szCs w:val="24"/>
        </w:rPr>
        <w:t xml:space="preserve"> </w:t>
      </w:r>
      <w:bookmarkStart w:id="6" w:name="_Toc347700744"/>
      <w:bookmarkStart w:id="7" w:name="_Toc347700805"/>
      <w:bookmarkStart w:id="8" w:name="_Toc356997081"/>
      <w:bookmarkStart w:id="9" w:name="_Toc356997331"/>
      <w:bookmarkStart w:id="10" w:name="_Toc356997619"/>
      <w:bookmarkStart w:id="11" w:name="_Toc357067921"/>
      <w:bookmarkStart w:id="12" w:name="_Toc357069455"/>
      <w:bookmarkStart w:id="13" w:name="_Toc360453156"/>
      <w:r w:rsidRPr="00C9475F">
        <w:rPr>
          <w:rFonts w:eastAsia="Calibri" w:cs="Times New Roman"/>
          <w:sz w:val="24"/>
          <w:szCs w:val="24"/>
        </w:rPr>
        <w:t>адекватност на капиталот</w:t>
      </w:r>
      <w:bookmarkEnd w:id="6"/>
      <w:bookmarkEnd w:id="7"/>
      <w:r w:rsidRPr="00C9475F">
        <w:rPr>
          <w:rFonts w:eastAsia="Calibri" w:cs="Times New Roman"/>
          <w:sz w:val="24"/>
          <w:szCs w:val="24"/>
        </w:rPr>
        <w:t xml:space="preserve"> на Капитал Банка</w:t>
      </w:r>
      <w:bookmarkEnd w:id="8"/>
      <w:bookmarkEnd w:id="9"/>
      <w:bookmarkEnd w:id="10"/>
      <w:bookmarkEnd w:id="11"/>
      <w:bookmarkEnd w:id="12"/>
      <w:bookmarkEnd w:id="13"/>
      <w:r w:rsidRPr="00C9475F">
        <w:rPr>
          <w:rFonts w:eastAsia="Calibri" w:cs="Times New Roman"/>
          <w:sz w:val="24"/>
          <w:szCs w:val="24"/>
        </w:rPr>
        <w:t xml:space="preserve"> (ревидирана верзија 3 од Јуни, 2013 год.) и</w:t>
      </w:r>
      <w:r w:rsidRPr="00C9475F">
        <w:rPr>
          <w:sz w:val="24"/>
          <w:szCs w:val="24"/>
        </w:rPr>
        <w:t xml:space="preserve"> </w:t>
      </w:r>
      <w:r w:rsidRPr="00C9475F">
        <w:rPr>
          <w:rFonts w:eastAsia="Calibri" w:cs="Times New Roman"/>
          <w:sz w:val="24"/>
          <w:szCs w:val="24"/>
        </w:rPr>
        <w:t>Упатство за пополнување/внесување на податоци во БИС Дакомс за  обезбедување по кредитите - станбен и деловен простор.</w:t>
      </w:r>
    </w:p>
    <w:p w:rsidR="00143C0F" w:rsidRPr="00C9475F" w:rsidRDefault="00143C0F" w:rsidP="00143C0F">
      <w:pPr>
        <w:pStyle w:val="ListParagraph"/>
        <w:spacing w:after="0"/>
        <w:jc w:val="both"/>
        <w:rPr>
          <w:rFonts w:eastAsia="Calibri" w:cs="Arial"/>
          <w:sz w:val="24"/>
          <w:szCs w:val="24"/>
        </w:rPr>
      </w:pPr>
    </w:p>
    <w:p w:rsidR="00143C0F" w:rsidRPr="00C9475F" w:rsidRDefault="00143C0F" w:rsidP="00143C0F">
      <w:pPr>
        <w:pStyle w:val="ListParagraph"/>
        <w:spacing w:after="0"/>
        <w:jc w:val="both"/>
        <w:rPr>
          <w:rFonts w:cs="Arial"/>
          <w:sz w:val="24"/>
          <w:szCs w:val="24"/>
        </w:rPr>
      </w:pPr>
      <w:r w:rsidRPr="00C9475F">
        <w:rPr>
          <w:rFonts w:cs="Arial"/>
          <w:sz w:val="24"/>
          <w:szCs w:val="24"/>
        </w:rPr>
        <w:t>Дадена е една препорака од Службата за внатрешна ревизија која може да се види во Сумарниот извештај за наодите, препораките и статусот (табеларен преглед), во прилог на овој Извештај.</w:t>
      </w:r>
    </w:p>
    <w:p w:rsidR="00143C0F" w:rsidRPr="00C9475F" w:rsidRDefault="00143C0F" w:rsidP="00143C0F">
      <w:pPr>
        <w:pStyle w:val="ListParagraph"/>
        <w:spacing w:after="0"/>
        <w:jc w:val="both"/>
        <w:rPr>
          <w:rFonts w:cs="Arial"/>
          <w:sz w:val="24"/>
          <w:szCs w:val="24"/>
        </w:rPr>
      </w:pPr>
    </w:p>
    <w:p w:rsidR="00143C0F" w:rsidRPr="00C9475F" w:rsidRDefault="00143C0F" w:rsidP="00143C0F">
      <w:pPr>
        <w:pStyle w:val="ListParagraph"/>
        <w:numPr>
          <w:ilvl w:val="0"/>
          <w:numId w:val="16"/>
        </w:numPr>
        <w:spacing w:after="0"/>
        <w:jc w:val="both"/>
        <w:rPr>
          <w:rFonts w:cs="Arial"/>
          <w:b/>
          <w:sz w:val="24"/>
          <w:szCs w:val="24"/>
        </w:rPr>
      </w:pPr>
      <w:r w:rsidRPr="00C9475F">
        <w:rPr>
          <w:b/>
          <w:sz w:val="24"/>
          <w:szCs w:val="24"/>
          <w:lang w:eastAsia="mk-MK"/>
        </w:rPr>
        <w:t xml:space="preserve">Извештај од извршената внатрешна </w:t>
      </w:r>
      <w:r w:rsidRPr="00C9475F">
        <w:rPr>
          <w:b/>
          <w:bCs/>
          <w:sz w:val="24"/>
          <w:szCs w:val="24"/>
          <w:lang w:eastAsia="mk-MK"/>
        </w:rPr>
        <w:t xml:space="preserve">контрола на информацискиот систем и информатичката инфраструктура на обработувачот на лични податоци </w:t>
      </w:r>
      <w:r w:rsidRPr="00C9475F">
        <w:rPr>
          <w:rFonts w:cs="Arial"/>
          <w:b/>
          <w:sz w:val="24"/>
          <w:szCs w:val="24"/>
        </w:rPr>
        <w:t>Интернационален Картичен Систем АД Скопје (КАСИС), во соработка со ОСИС (Одговорно лице за сигурноста на информативниот систем).</w:t>
      </w:r>
    </w:p>
    <w:p w:rsidR="00143C0F" w:rsidRPr="00C9475F" w:rsidRDefault="00143C0F" w:rsidP="00143C0F">
      <w:pPr>
        <w:pStyle w:val="Default"/>
        <w:ind w:left="720"/>
        <w:jc w:val="both"/>
        <w:rPr>
          <w:rFonts w:asciiTheme="minorHAnsi" w:hAnsiTheme="minorHAnsi" w:cs="Arial"/>
          <w:color w:val="auto"/>
        </w:rPr>
      </w:pPr>
    </w:p>
    <w:p w:rsidR="00143C0F" w:rsidRPr="00C9475F" w:rsidRDefault="00143C0F" w:rsidP="00143C0F">
      <w:pPr>
        <w:spacing w:after="0"/>
        <w:ind w:left="720"/>
        <w:jc w:val="both"/>
        <w:rPr>
          <w:rFonts w:cs="Arial"/>
          <w:sz w:val="24"/>
          <w:szCs w:val="24"/>
        </w:rPr>
      </w:pPr>
      <w:r w:rsidRPr="00C9475F">
        <w:rPr>
          <w:rFonts w:eastAsia="Calibri" w:cs="Arial"/>
          <w:sz w:val="24"/>
          <w:szCs w:val="24"/>
        </w:rPr>
        <w:t>Беше спроведена контрола на постапувањето на Обработувачот на лични податоци Интернационален Картичен Систем АД Скопје (КАСИС)</w:t>
      </w:r>
      <w:r w:rsidRPr="00C9475F">
        <w:rPr>
          <w:rFonts w:cs="Arial"/>
          <w:sz w:val="24"/>
          <w:szCs w:val="24"/>
        </w:rPr>
        <w:t xml:space="preserve">. </w:t>
      </w:r>
      <w:r w:rsidRPr="00C9475F">
        <w:rPr>
          <w:rFonts w:eastAsia="Calibri" w:cs="Arial"/>
          <w:sz w:val="24"/>
          <w:szCs w:val="24"/>
        </w:rPr>
        <w:t xml:space="preserve">Опсегот на контролата ги опфати обработката на податоци кои се однесуваат на иматели на платежни картички што е во сразмер со Договор за користење на услугите на </w:t>
      </w:r>
      <w:r w:rsidRPr="00C9475F">
        <w:rPr>
          <w:rFonts w:eastAsia="Calibri" w:cs="Arial"/>
          <w:sz w:val="24"/>
          <w:szCs w:val="24"/>
        </w:rPr>
        <w:lastRenderedPageBreak/>
        <w:t>процесинг центарот за работа со платежни картици и Договор за сигурност и доверливост на информациите. Направена е проценка на усогласеноста со начелата за заштита на личните податоци, примената на законските прописи за заштита на личните податоци кои се преточени во секојдневната практика и ефективноста на сите активности кои се превземаат во насока на заштита на личните податоци.</w:t>
      </w:r>
    </w:p>
    <w:p w:rsidR="00143C0F" w:rsidRPr="00C9475F" w:rsidRDefault="00143C0F" w:rsidP="00143C0F">
      <w:pPr>
        <w:spacing w:after="0"/>
        <w:ind w:left="720"/>
        <w:jc w:val="both"/>
        <w:rPr>
          <w:rFonts w:eastAsia="Calibri" w:cs="Arial"/>
          <w:sz w:val="24"/>
          <w:szCs w:val="24"/>
        </w:rPr>
      </w:pPr>
    </w:p>
    <w:p w:rsidR="00143C0F" w:rsidRPr="00C9475F" w:rsidRDefault="00143C0F" w:rsidP="00143C0F">
      <w:pPr>
        <w:pStyle w:val="Default"/>
        <w:ind w:left="720"/>
        <w:jc w:val="both"/>
        <w:rPr>
          <w:rFonts w:asciiTheme="minorHAnsi" w:hAnsiTheme="minorHAnsi" w:cs="Arial"/>
          <w:color w:val="auto"/>
        </w:rPr>
      </w:pPr>
      <w:r w:rsidRPr="00C9475F">
        <w:rPr>
          <w:rFonts w:asciiTheme="minorHAnsi" w:hAnsiTheme="minorHAnsi" w:cs="Arial"/>
          <w:color w:val="auto"/>
        </w:rPr>
        <w:t>Со спроведената контрола не беа најдени материјално значајни неусогласености.</w:t>
      </w:r>
    </w:p>
    <w:p w:rsidR="00143C0F" w:rsidRPr="00C9475F" w:rsidRDefault="00143C0F" w:rsidP="00143C0F">
      <w:pPr>
        <w:pStyle w:val="Default"/>
        <w:ind w:left="720"/>
        <w:jc w:val="both"/>
        <w:rPr>
          <w:rFonts w:asciiTheme="minorHAnsi" w:hAnsiTheme="minorHAnsi" w:cs="Arial"/>
          <w:color w:val="auto"/>
        </w:rPr>
      </w:pPr>
    </w:p>
    <w:p w:rsidR="00143C0F" w:rsidRPr="00C9475F" w:rsidRDefault="00143C0F" w:rsidP="00143C0F">
      <w:pPr>
        <w:pStyle w:val="ListParagraph"/>
        <w:numPr>
          <w:ilvl w:val="0"/>
          <w:numId w:val="16"/>
        </w:numPr>
        <w:spacing w:after="0"/>
        <w:jc w:val="both"/>
        <w:rPr>
          <w:rFonts w:cs="Arial"/>
          <w:b/>
          <w:sz w:val="24"/>
          <w:szCs w:val="24"/>
        </w:rPr>
      </w:pPr>
      <w:r w:rsidRPr="00C9475F">
        <w:rPr>
          <w:rFonts w:cs="Arial"/>
          <w:b/>
          <w:sz w:val="24"/>
          <w:szCs w:val="24"/>
        </w:rPr>
        <w:t>Извештај за усогласеноста на Банката со Писмено предупредување од НБРМ бр. 597 од 01.10.2014 година – точка 2 потточка в).</w:t>
      </w:r>
    </w:p>
    <w:p w:rsidR="00143C0F" w:rsidRPr="00C9475F" w:rsidRDefault="00143C0F" w:rsidP="00143C0F">
      <w:pPr>
        <w:pStyle w:val="ListParagraph"/>
        <w:spacing w:after="0"/>
        <w:jc w:val="both"/>
        <w:rPr>
          <w:rFonts w:cs="Arial"/>
          <w:sz w:val="24"/>
          <w:szCs w:val="24"/>
        </w:rPr>
      </w:pPr>
    </w:p>
    <w:p w:rsidR="00143C0F" w:rsidRPr="00C9475F" w:rsidRDefault="00143C0F" w:rsidP="00143C0F">
      <w:pPr>
        <w:spacing w:after="0"/>
        <w:ind w:left="720"/>
        <w:jc w:val="both"/>
        <w:rPr>
          <w:rFonts w:cs="Arial"/>
          <w:sz w:val="24"/>
          <w:szCs w:val="24"/>
        </w:rPr>
      </w:pPr>
      <w:r w:rsidRPr="00C9475F">
        <w:rPr>
          <w:rFonts w:eastAsia="Calibri" w:cs="Arial"/>
          <w:sz w:val="24"/>
          <w:szCs w:val="24"/>
        </w:rPr>
        <w:t>Предмет на ревизија беше степенот на усогласеност со Писменото предупредување од НБМ бр. 597 од 01.10.2014 година</w:t>
      </w:r>
      <w:r w:rsidRPr="00C9475F">
        <w:rPr>
          <w:rFonts w:cs="Arial"/>
          <w:sz w:val="24"/>
          <w:szCs w:val="24"/>
        </w:rPr>
        <w:t>, точка 2, потточка в), односно н</w:t>
      </w:r>
      <w:r w:rsidRPr="00C9475F">
        <w:rPr>
          <w:rFonts w:eastAsia="Calibri" w:cs="Arial"/>
          <w:sz w:val="24"/>
          <w:szCs w:val="24"/>
        </w:rPr>
        <w:t>ајдоцна до 31.12.2014 година, Банката да ги отстрани слабостите во процесот на класификација на изложеноста на кредитниот ризик преку дефинирање на начинот на кој ќе се врши рачната промена на категоријата на ризик утврдена со моделот за класификација на Банката.</w:t>
      </w:r>
    </w:p>
    <w:p w:rsidR="00143C0F" w:rsidRPr="00C9475F" w:rsidRDefault="00143C0F" w:rsidP="00143C0F">
      <w:pPr>
        <w:spacing w:after="0"/>
        <w:ind w:left="720"/>
        <w:jc w:val="both"/>
        <w:rPr>
          <w:rFonts w:cs="Arial"/>
          <w:sz w:val="24"/>
          <w:szCs w:val="24"/>
        </w:rPr>
      </w:pPr>
    </w:p>
    <w:p w:rsidR="00143C0F" w:rsidRPr="00C9475F" w:rsidRDefault="00143C0F" w:rsidP="00143C0F">
      <w:pPr>
        <w:spacing w:after="0"/>
        <w:ind w:left="720"/>
        <w:jc w:val="both"/>
        <w:rPr>
          <w:rFonts w:cs="Arial"/>
          <w:sz w:val="24"/>
          <w:szCs w:val="24"/>
        </w:rPr>
      </w:pPr>
      <w:r w:rsidRPr="00C9475F">
        <w:rPr>
          <w:rFonts w:cs="Arial"/>
          <w:sz w:val="24"/>
          <w:szCs w:val="24"/>
        </w:rPr>
        <w:t xml:space="preserve">Беше утврдено дека </w:t>
      </w:r>
      <w:r w:rsidRPr="00C9475F">
        <w:rPr>
          <w:rFonts w:eastAsia="Calibri" w:cs="Arial"/>
          <w:sz w:val="24"/>
          <w:szCs w:val="24"/>
        </w:rPr>
        <w:t>Банката во најголем дел е усогласена со Писменото предупредување од НБМ бр. 597 од 01.10.2014 година, но се уште има простор за подобрување на интерните акти во дефинирање на начинот на кој се врши рачната промена на категорија на ризик.</w:t>
      </w:r>
    </w:p>
    <w:p w:rsidR="00143C0F" w:rsidRPr="00C9475F" w:rsidRDefault="00143C0F" w:rsidP="00143C0F">
      <w:pPr>
        <w:spacing w:after="0"/>
        <w:ind w:left="720"/>
        <w:jc w:val="both"/>
        <w:rPr>
          <w:rFonts w:cs="Arial"/>
          <w:sz w:val="24"/>
          <w:szCs w:val="24"/>
        </w:rPr>
      </w:pPr>
    </w:p>
    <w:p w:rsidR="00143C0F" w:rsidRPr="00C9475F" w:rsidRDefault="00143C0F" w:rsidP="00143C0F">
      <w:pPr>
        <w:pStyle w:val="ListParagraph"/>
        <w:numPr>
          <w:ilvl w:val="0"/>
          <w:numId w:val="16"/>
        </w:numPr>
        <w:spacing w:after="0"/>
        <w:jc w:val="both"/>
        <w:rPr>
          <w:rFonts w:eastAsia="Calibri" w:cs="Arial"/>
          <w:b/>
          <w:sz w:val="24"/>
          <w:szCs w:val="24"/>
        </w:rPr>
      </w:pPr>
      <w:r w:rsidRPr="00C9475F">
        <w:rPr>
          <w:rFonts w:cs="Arial"/>
          <w:b/>
          <w:sz w:val="24"/>
          <w:szCs w:val="24"/>
        </w:rPr>
        <w:t>Извештај за извршената внатрешна ревизија на управувањето на Банката со ликвидносниот ризик.</w:t>
      </w:r>
    </w:p>
    <w:p w:rsidR="00143C0F" w:rsidRPr="00C9475F" w:rsidRDefault="00143C0F" w:rsidP="00143C0F">
      <w:pPr>
        <w:spacing w:after="0"/>
        <w:ind w:left="720"/>
        <w:jc w:val="both"/>
        <w:rPr>
          <w:rFonts w:eastAsia="Calibri" w:cs="Arial"/>
          <w:i/>
          <w:sz w:val="24"/>
          <w:szCs w:val="24"/>
        </w:rPr>
      </w:pPr>
    </w:p>
    <w:p w:rsidR="00143C0F" w:rsidRPr="00C9475F" w:rsidRDefault="00143C0F" w:rsidP="00143C0F">
      <w:pPr>
        <w:pStyle w:val="ListParagraph"/>
        <w:spacing w:after="0"/>
        <w:jc w:val="both"/>
        <w:rPr>
          <w:rFonts w:eastAsia="Calibri" w:cs="Arial"/>
          <w:sz w:val="24"/>
          <w:szCs w:val="24"/>
        </w:rPr>
      </w:pPr>
      <w:r w:rsidRPr="00C9475F">
        <w:rPr>
          <w:rFonts w:eastAsia="Calibri" w:cs="Arial"/>
          <w:sz w:val="24"/>
          <w:szCs w:val="24"/>
        </w:rPr>
        <w:t>Беше извршена ревизија на почитување на одредбите од Одлуката на НБМ за управување со ризиците (Службен весник на РМ бр. 42/2011), Одлуката за управување со ликвидносниот ризик (Службен весник на РМ бр. 126/2011, 19/2012 и 151/2013), Упатството за спроведување на Одлуката за управување со ликвидносниот ризик на банките (Службен весник на РМ бр. 139/2011, 27/2012 и 162/2013), како и на</w:t>
      </w:r>
      <w:r w:rsidRPr="00C9475F">
        <w:rPr>
          <w:rFonts w:cs="Arial"/>
          <w:sz w:val="24"/>
          <w:szCs w:val="24"/>
        </w:rPr>
        <w:t xml:space="preserve"> останатата законска регулатива, понатаму на п</w:t>
      </w:r>
      <w:r w:rsidRPr="00C9475F">
        <w:rPr>
          <w:rFonts w:eastAsia="Calibri" w:cs="Arial"/>
          <w:sz w:val="24"/>
          <w:szCs w:val="24"/>
        </w:rPr>
        <w:t>очитување на Политиката за управување со ликвидносниот ризик на Банката, План за управување со ликвидносниот ризик на Банката во вонредни услови и Процедурата за управување со ликвидносниот ризик на Банката.</w:t>
      </w:r>
    </w:p>
    <w:p w:rsidR="00143C0F" w:rsidRPr="00C9475F" w:rsidRDefault="00143C0F" w:rsidP="00143C0F">
      <w:pPr>
        <w:spacing w:after="0"/>
        <w:ind w:left="720"/>
        <w:jc w:val="both"/>
        <w:rPr>
          <w:rFonts w:eastAsia="Calibri" w:cs="Arial"/>
          <w:sz w:val="24"/>
          <w:szCs w:val="24"/>
        </w:rPr>
      </w:pPr>
    </w:p>
    <w:p w:rsidR="00143C0F" w:rsidRPr="00C9475F" w:rsidRDefault="00143C0F" w:rsidP="00143C0F">
      <w:pPr>
        <w:pStyle w:val="ListParagraph"/>
        <w:spacing w:after="0"/>
        <w:jc w:val="both"/>
        <w:rPr>
          <w:rFonts w:cs="Arial"/>
          <w:sz w:val="24"/>
          <w:szCs w:val="24"/>
        </w:rPr>
      </w:pPr>
      <w:r w:rsidRPr="00C9475F">
        <w:rPr>
          <w:rFonts w:cs="Arial"/>
          <w:sz w:val="24"/>
          <w:szCs w:val="24"/>
        </w:rPr>
        <w:t>Дадени се две препораки од Службата за внатрешна ревизија кои можат да се видат во Сумарниот извештај за наодите, препораките и статусот (табеларен преглед), во прилог на овој Извештај.</w:t>
      </w:r>
    </w:p>
    <w:p w:rsidR="00143C0F" w:rsidRPr="00C9475F" w:rsidRDefault="00143C0F" w:rsidP="00143C0F">
      <w:pPr>
        <w:spacing w:after="0"/>
        <w:ind w:left="720"/>
        <w:jc w:val="both"/>
        <w:rPr>
          <w:rFonts w:eastAsia="Calibri" w:cs="Arial"/>
          <w:sz w:val="24"/>
          <w:szCs w:val="24"/>
        </w:rPr>
      </w:pPr>
    </w:p>
    <w:p w:rsidR="00143C0F" w:rsidRPr="00C9475F" w:rsidRDefault="00143C0F" w:rsidP="00143C0F">
      <w:pPr>
        <w:pStyle w:val="ListParagraph"/>
        <w:numPr>
          <w:ilvl w:val="0"/>
          <w:numId w:val="16"/>
        </w:numPr>
        <w:spacing w:after="0"/>
        <w:jc w:val="both"/>
        <w:rPr>
          <w:rFonts w:cs="Arial"/>
          <w:b/>
          <w:sz w:val="24"/>
          <w:szCs w:val="24"/>
        </w:rPr>
      </w:pPr>
      <w:r w:rsidRPr="00C9475F">
        <w:rPr>
          <w:rFonts w:cs="Arial"/>
          <w:b/>
          <w:sz w:val="24"/>
          <w:szCs w:val="24"/>
        </w:rPr>
        <w:t>Извештај за извршената внатрешна ревизија на управувањето на Банката со стратегискиот и репутацискиот ризик до 31.05.2015 година.</w:t>
      </w:r>
    </w:p>
    <w:p w:rsidR="00143C0F" w:rsidRPr="00C9475F" w:rsidRDefault="00143C0F" w:rsidP="00143C0F">
      <w:pPr>
        <w:pStyle w:val="ListParagraph"/>
        <w:spacing w:after="0"/>
        <w:jc w:val="both"/>
        <w:rPr>
          <w:rFonts w:cs="Arial"/>
          <w:b/>
          <w:sz w:val="24"/>
          <w:szCs w:val="24"/>
        </w:rPr>
      </w:pPr>
    </w:p>
    <w:p w:rsidR="00143C0F" w:rsidRPr="00C9475F" w:rsidRDefault="00143C0F" w:rsidP="00143C0F">
      <w:pPr>
        <w:pStyle w:val="ListParagraph"/>
        <w:spacing w:after="0"/>
        <w:jc w:val="both"/>
        <w:rPr>
          <w:rFonts w:eastAsia="Calibri" w:cs="Arial"/>
          <w:sz w:val="24"/>
          <w:szCs w:val="24"/>
        </w:rPr>
      </w:pPr>
      <w:r w:rsidRPr="00C9475F">
        <w:rPr>
          <w:rFonts w:cs="Arial"/>
          <w:sz w:val="24"/>
          <w:szCs w:val="24"/>
        </w:rPr>
        <w:t>Беше извршена ревизија на п</w:t>
      </w:r>
      <w:r w:rsidRPr="00C9475F">
        <w:rPr>
          <w:rFonts w:eastAsia="Calibri" w:cs="Arial"/>
          <w:sz w:val="24"/>
          <w:szCs w:val="24"/>
        </w:rPr>
        <w:t xml:space="preserve">очитување на одредбите од Одлуката на НБРМ за управување со ризиците (Службен весник на РМ бр. 42/2011), поточно на </w:t>
      </w:r>
      <w:r w:rsidRPr="00C9475F">
        <w:rPr>
          <w:rFonts w:eastAsia="Calibri" w:cs="Times New Roman"/>
          <w:sz w:val="24"/>
          <w:szCs w:val="24"/>
        </w:rPr>
        <w:t>Анекс 3 – Основни принципи за управување со стратегискиот ризик и Анекс 4 – Основни принципи за управување со репутацискиот ризик</w:t>
      </w:r>
      <w:r w:rsidRPr="00C9475F">
        <w:rPr>
          <w:rFonts w:eastAsia="Calibri" w:cs="Arial"/>
          <w:sz w:val="24"/>
          <w:szCs w:val="24"/>
        </w:rPr>
        <w:t>, како и на</w:t>
      </w:r>
      <w:r w:rsidRPr="00C9475F">
        <w:rPr>
          <w:rFonts w:cs="Arial"/>
          <w:sz w:val="24"/>
          <w:szCs w:val="24"/>
        </w:rPr>
        <w:t xml:space="preserve"> останатата законска регулатива, на п</w:t>
      </w:r>
      <w:r w:rsidRPr="00C9475F">
        <w:rPr>
          <w:rFonts w:eastAsia="Calibri" w:cs="Arial"/>
          <w:sz w:val="24"/>
          <w:szCs w:val="24"/>
        </w:rPr>
        <w:t xml:space="preserve">очитување на </w:t>
      </w:r>
      <w:r w:rsidRPr="00C9475F">
        <w:rPr>
          <w:rFonts w:eastAsia="Arial Unicode MS" w:cs="Arial"/>
          <w:sz w:val="24"/>
          <w:szCs w:val="24"/>
        </w:rPr>
        <w:t>Политиката за управување со стратегиски ризик на Капитал банка АД Скопје, верзија 2 од 21.09.2011 година, на Политиката за управување со репутациски ризик на Капитал банка АД Скопје, верзија 2 од 20.09.2011 година</w:t>
      </w:r>
      <w:r w:rsidRPr="00C9475F">
        <w:rPr>
          <w:rFonts w:eastAsia="Calibri" w:cs="Arial"/>
          <w:sz w:val="24"/>
          <w:szCs w:val="24"/>
        </w:rPr>
        <w:t>, како и на останатите интерни акти.</w:t>
      </w:r>
    </w:p>
    <w:p w:rsidR="00143C0F" w:rsidRPr="00C9475F" w:rsidRDefault="00143C0F" w:rsidP="00143C0F">
      <w:pPr>
        <w:pStyle w:val="ListParagraph"/>
        <w:spacing w:after="0"/>
        <w:jc w:val="both"/>
        <w:rPr>
          <w:rFonts w:cs="Arial"/>
          <w:sz w:val="24"/>
          <w:szCs w:val="24"/>
        </w:rPr>
      </w:pPr>
    </w:p>
    <w:p w:rsidR="00143C0F" w:rsidRPr="00C9475F" w:rsidRDefault="00143C0F" w:rsidP="00143C0F">
      <w:pPr>
        <w:pStyle w:val="ListParagraph"/>
        <w:spacing w:after="0"/>
        <w:jc w:val="both"/>
        <w:rPr>
          <w:rFonts w:cs="Arial"/>
          <w:sz w:val="24"/>
          <w:szCs w:val="24"/>
        </w:rPr>
      </w:pPr>
      <w:r w:rsidRPr="00C9475F">
        <w:rPr>
          <w:rFonts w:cs="Arial"/>
          <w:sz w:val="24"/>
          <w:szCs w:val="24"/>
        </w:rPr>
        <w:t>Дадена е една препорака од Службата за внатрешна ревизија која може да се види во Сумарниот извештај за наодите, препораките и статусот (табеларен преглед), во прилог на овој Извештај.</w:t>
      </w:r>
    </w:p>
    <w:p w:rsidR="00065802" w:rsidRPr="006B7092" w:rsidRDefault="00065802" w:rsidP="006B7092">
      <w:pPr>
        <w:pStyle w:val="Default"/>
        <w:ind w:left="720"/>
        <w:jc w:val="both"/>
        <w:rPr>
          <w:rFonts w:asciiTheme="minorHAnsi" w:hAnsiTheme="minorHAnsi" w:cs="Arial"/>
          <w:b/>
          <w:color w:val="auto"/>
        </w:rPr>
      </w:pPr>
    </w:p>
    <w:p w:rsidR="00065802" w:rsidRPr="006B7092" w:rsidRDefault="002B6549" w:rsidP="006B7092">
      <w:pPr>
        <w:pStyle w:val="ListParagraph"/>
        <w:numPr>
          <w:ilvl w:val="0"/>
          <w:numId w:val="16"/>
        </w:numPr>
        <w:spacing w:after="0"/>
        <w:jc w:val="both"/>
        <w:rPr>
          <w:rFonts w:cs="Arial"/>
          <w:b/>
          <w:sz w:val="24"/>
          <w:szCs w:val="24"/>
        </w:rPr>
      </w:pPr>
      <w:r w:rsidRPr="002B6549">
        <w:rPr>
          <w:rFonts w:cs="Arial"/>
          <w:b/>
          <w:sz w:val="24"/>
          <w:szCs w:val="24"/>
        </w:rPr>
        <w:t>Извешта</w:t>
      </w:r>
      <w:r w:rsidR="00851073">
        <w:rPr>
          <w:rFonts w:cs="Arial"/>
          <w:b/>
          <w:sz w:val="24"/>
          <w:szCs w:val="24"/>
        </w:rPr>
        <w:t>ј</w:t>
      </w:r>
      <w:r w:rsidRPr="002B6549">
        <w:rPr>
          <w:rFonts w:cs="Arial"/>
          <w:b/>
          <w:sz w:val="24"/>
          <w:szCs w:val="24"/>
        </w:rPr>
        <w:t xml:space="preserve"> за извршената внатрешна ревизија на експозитура Соравиа на ден 21.07.2015 година</w:t>
      </w:r>
      <w:r w:rsidR="000D03E3" w:rsidRPr="006B7092">
        <w:rPr>
          <w:rFonts w:cs="Arial"/>
          <w:b/>
          <w:sz w:val="24"/>
          <w:szCs w:val="24"/>
        </w:rPr>
        <w:t>.</w:t>
      </w:r>
    </w:p>
    <w:p w:rsidR="00616C8C" w:rsidRPr="006B7092" w:rsidRDefault="00616C8C" w:rsidP="006B7092">
      <w:pPr>
        <w:pStyle w:val="Default"/>
        <w:ind w:left="720"/>
        <w:jc w:val="both"/>
        <w:rPr>
          <w:rFonts w:asciiTheme="minorHAnsi" w:hAnsiTheme="minorHAnsi" w:cs="Arial"/>
          <w:b/>
          <w:color w:val="auto"/>
        </w:rPr>
      </w:pPr>
    </w:p>
    <w:p w:rsidR="003E6F32" w:rsidRPr="006B7092" w:rsidRDefault="003E6F32" w:rsidP="003E6F32">
      <w:pPr>
        <w:pStyle w:val="ListParagraph"/>
        <w:spacing w:after="0"/>
        <w:jc w:val="both"/>
        <w:rPr>
          <w:rFonts w:cs="Arial"/>
          <w:sz w:val="24"/>
          <w:szCs w:val="24"/>
        </w:rPr>
      </w:pPr>
      <w:r w:rsidRPr="006B7092">
        <w:rPr>
          <w:rFonts w:cs="Arial"/>
          <w:sz w:val="24"/>
          <w:szCs w:val="24"/>
        </w:rPr>
        <w:t>Беше извршен попис на благајн</w:t>
      </w:r>
      <w:r w:rsidR="002033F4">
        <w:rPr>
          <w:rFonts w:cs="Arial"/>
          <w:sz w:val="24"/>
          <w:szCs w:val="24"/>
        </w:rPr>
        <w:t xml:space="preserve">ите </w:t>
      </w:r>
      <w:r w:rsidRPr="006B7092">
        <w:rPr>
          <w:rFonts w:cs="Arial"/>
          <w:sz w:val="24"/>
          <w:szCs w:val="24"/>
        </w:rPr>
        <w:t xml:space="preserve">во експозитурата, </w:t>
      </w:r>
      <w:r w:rsidR="002033F4">
        <w:rPr>
          <w:rFonts w:cs="Arial"/>
          <w:sz w:val="24"/>
          <w:szCs w:val="24"/>
        </w:rPr>
        <w:t xml:space="preserve">ревизија </w:t>
      </w:r>
      <w:r w:rsidRPr="006B7092">
        <w:rPr>
          <w:rFonts w:cs="Arial"/>
          <w:sz w:val="24"/>
          <w:szCs w:val="24"/>
        </w:rPr>
        <w:t xml:space="preserve">на почитување на благајнички максимум во благајната, на менувачко работење и Закон за СППФТ, на трансакциите преку </w:t>
      </w:r>
      <w:proofErr w:type="spellStart"/>
      <w:r w:rsidRPr="006B7092">
        <w:rPr>
          <w:rFonts w:cs="Arial"/>
          <w:sz w:val="24"/>
          <w:szCs w:val="24"/>
          <w:lang w:val="en-US"/>
        </w:rPr>
        <w:t>Moneygramm</w:t>
      </w:r>
      <w:proofErr w:type="spellEnd"/>
      <w:r w:rsidRPr="006B7092">
        <w:rPr>
          <w:rFonts w:cs="Arial"/>
          <w:sz w:val="24"/>
          <w:szCs w:val="24"/>
          <w:lang w:val="en-US"/>
        </w:rPr>
        <w:t xml:space="preserve">, </w:t>
      </w:r>
      <w:r w:rsidRPr="006B7092">
        <w:rPr>
          <w:rFonts w:cs="Arial"/>
          <w:sz w:val="24"/>
          <w:szCs w:val="24"/>
        </w:rPr>
        <w:t>на платен промет во делот на оперативното работење во експозитурата, на депозитно работење со физички лица во експозитурата, на трансакциски сметки, денарски и девизни со физички и правни лица во експозитурата, на картично работење со дебитни и кредитни картички во експозитурата, на кредити на физички лица, наменски и ненаменски, како и на извештаите доставени до раководителот на Сектор за развој на бизнис и физички лица од експозитурата.</w:t>
      </w:r>
    </w:p>
    <w:p w:rsidR="00B12F0F" w:rsidRPr="006B7092" w:rsidRDefault="00B12F0F" w:rsidP="006B7092">
      <w:pPr>
        <w:pStyle w:val="Default"/>
        <w:ind w:left="720"/>
        <w:jc w:val="both"/>
        <w:rPr>
          <w:rFonts w:asciiTheme="minorHAnsi" w:hAnsiTheme="minorHAnsi" w:cs="Arial"/>
          <w:b/>
          <w:color w:val="auto"/>
        </w:rPr>
      </w:pPr>
    </w:p>
    <w:p w:rsidR="00C62C49" w:rsidRDefault="00C62C49" w:rsidP="00C62C49">
      <w:pPr>
        <w:pStyle w:val="ListParagraph"/>
        <w:spacing w:after="0"/>
        <w:jc w:val="both"/>
        <w:rPr>
          <w:rFonts w:cs="Arial"/>
          <w:sz w:val="24"/>
          <w:szCs w:val="24"/>
        </w:rPr>
      </w:pPr>
      <w:r w:rsidRPr="006B7092">
        <w:rPr>
          <w:rFonts w:cs="Arial"/>
          <w:sz w:val="24"/>
          <w:szCs w:val="24"/>
        </w:rPr>
        <w:t xml:space="preserve">Беше заклучено дека во моментот на ревизијата Банката е усогласена со </w:t>
      </w:r>
      <w:r>
        <w:rPr>
          <w:rFonts w:cs="Arial"/>
          <w:sz w:val="24"/>
          <w:szCs w:val="24"/>
        </w:rPr>
        <w:t>4-те</w:t>
      </w:r>
      <w:r w:rsidRPr="006B7092">
        <w:rPr>
          <w:rFonts w:cs="Arial"/>
          <w:sz w:val="24"/>
          <w:szCs w:val="24"/>
        </w:rPr>
        <w:t xml:space="preserve"> препораки </w:t>
      </w:r>
      <w:r>
        <w:rPr>
          <w:rFonts w:cs="Arial"/>
          <w:sz w:val="24"/>
          <w:szCs w:val="24"/>
        </w:rPr>
        <w:t>дадени од претходната внатрешна ревизија.</w:t>
      </w:r>
    </w:p>
    <w:p w:rsidR="00C62C49" w:rsidRDefault="00C62C49" w:rsidP="00C62C49">
      <w:pPr>
        <w:pStyle w:val="ListParagraph"/>
        <w:spacing w:after="0"/>
        <w:jc w:val="both"/>
        <w:rPr>
          <w:rFonts w:cs="Arial"/>
          <w:sz w:val="24"/>
          <w:szCs w:val="24"/>
        </w:rPr>
      </w:pPr>
    </w:p>
    <w:p w:rsidR="00C62C49" w:rsidRPr="006B7092" w:rsidRDefault="00C62C49" w:rsidP="00C62C49">
      <w:pPr>
        <w:pStyle w:val="ListParagraph"/>
        <w:spacing w:after="0"/>
        <w:jc w:val="both"/>
        <w:rPr>
          <w:rFonts w:cs="Arial"/>
          <w:sz w:val="24"/>
          <w:szCs w:val="24"/>
          <w:lang w:val="en-US"/>
        </w:rPr>
      </w:pPr>
      <w:r w:rsidRPr="006B7092">
        <w:rPr>
          <w:rFonts w:cs="Arial"/>
          <w:sz w:val="24"/>
          <w:szCs w:val="24"/>
        </w:rPr>
        <w:t xml:space="preserve">Дадена е една </w:t>
      </w:r>
      <w:r>
        <w:rPr>
          <w:rFonts w:cs="Arial"/>
          <w:sz w:val="24"/>
          <w:szCs w:val="24"/>
        </w:rPr>
        <w:t xml:space="preserve">нова </w:t>
      </w:r>
      <w:r w:rsidRPr="006B7092">
        <w:rPr>
          <w:rFonts w:cs="Arial"/>
          <w:sz w:val="24"/>
          <w:szCs w:val="24"/>
        </w:rPr>
        <w:t>препорака од Службата за внатрешна ревизија која може да се види во Сумарниот извештај за наодите, препораките и статусот (табеларен прегл</w:t>
      </w:r>
      <w:r w:rsidR="00D23235">
        <w:rPr>
          <w:rFonts w:cs="Arial"/>
          <w:sz w:val="24"/>
          <w:szCs w:val="24"/>
        </w:rPr>
        <w:t>ед), во прилог на овој Извештај, како и 2 помали забелешки.</w:t>
      </w:r>
    </w:p>
    <w:p w:rsidR="000D03E3" w:rsidRPr="006B7092" w:rsidRDefault="000D03E3" w:rsidP="006B7092">
      <w:pPr>
        <w:pStyle w:val="Default"/>
        <w:ind w:left="720"/>
        <w:jc w:val="both"/>
        <w:rPr>
          <w:rFonts w:asciiTheme="minorHAnsi" w:hAnsiTheme="minorHAnsi" w:cs="Arial"/>
          <w:b/>
          <w:color w:val="auto"/>
        </w:rPr>
      </w:pPr>
    </w:p>
    <w:p w:rsidR="00282428" w:rsidRPr="006B7092" w:rsidRDefault="00CC3A31" w:rsidP="006B7092">
      <w:pPr>
        <w:pStyle w:val="ListParagraph"/>
        <w:numPr>
          <w:ilvl w:val="0"/>
          <w:numId w:val="16"/>
        </w:numPr>
        <w:spacing w:after="0"/>
        <w:jc w:val="both"/>
        <w:rPr>
          <w:rFonts w:cs="Arial"/>
          <w:b/>
          <w:sz w:val="24"/>
          <w:szCs w:val="24"/>
        </w:rPr>
      </w:pPr>
      <w:r w:rsidRPr="00CC3A31">
        <w:rPr>
          <w:rFonts w:cs="Arial"/>
          <w:b/>
          <w:sz w:val="24"/>
          <w:szCs w:val="24"/>
        </w:rPr>
        <w:t>Извештај за извршената внатрешна ревизија на експозитура Аеродром на ден 10.09.2015 година</w:t>
      </w:r>
      <w:r w:rsidR="00282428" w:rsidRPr="006B7092">
        <w:rPr>
          <w:rFonts w:cs="Arial"/>
          <w:b/>
          <w:sz w:val="24"/>
          <w:szCs w:val="24"/>
        </w:rPr>
        <w:t>.</w:t>
      </w:r>
    </w:p>
    <w:p w:rsidR="00282428" w:rsidRPr="006B7092" w:rsidRDefault="00282428" w:rsidP="006B7092">
      <w:pPr>
        <w:pStyle w:val="Default"/>
        <w:ind w:left="720"/>
        <w:jc w:val="both"/>
        <w:rPr>
          <w:rFonts w:asciiTheme="minorHAnsi" w:hAnsiTheme="minorHAnsi" w:cs="Arial"/>
          <w:b/>
          <w:color w:val="auto"/>
        </w:rPr>
      </w:pPr>
    </w:p>
    <w:p w:rsidR="00CC3A31" w:rsidRPr="006B7092" w:rsidRDefault="00CC3A31" w:rsidP="00CC3A31">
      <w:pPr>
        <w:pStyle w:val="ListParagraph"/>
        <w:spacing w:after="0"/>
        <w:jc w:val="both"/>
        <w:rPr>
          <w:rFonts w:cs="Arial"/>
          <w:sz w:val="24"/>
          <w:szCs w:val="24"/>
        </w:rPr>
      </w:pPr>
      <w:r w:rsidRPr="006B7092">
        <w:rPr>
          <w:rFonts w:cs="Arial"/>
          <w:sz w:val="24"/>
          <w:szCs w:val="24"/>
        </w:rPr>
        <w:t>Беше извршен попис на благајн</w:t>
      </w:r>
      <w:r>
        <w:rPr>
          <w:rFonts w:cs="Arial"/>
          <w:sz w:val="24"/>
          <w:szCs w:val="24"/>
        </w:rPr>
        <w:t xml:space="preserve">ите </w:t>
      </w:r>
      <w:r w:rsidRPr="006B7092">
        <w:rPr>
          <w:rFonts w:cs="Arial"/>
          <w:sz w:val="24"/>
          <w:szCs w:val="24"/>
        </w:rPr>
        <w:t xml:space="preserve">во експозитурата, </w:t>
      </w:r>
      <w:r>
        <w:rPr>
          <w:rFonts w:cs="Arial"/>
          <w:sz w:val="24"/>
          <w:szCs w:val="24"/>
        </w:rPr>
        <w:t xml:space="preserve">како и на банкоматот, ревизија </w:t>
      </w:r>
      <w:r w:rsidRPr="006B7092">
        <w:rPr>
          <w:rFonts w:cs="Arial"/>
          <w:sz w:val="24"/>
          <w:szCs w:val="24"/>
        </w:rPr>
        <w:t xml:space="preserve">на почитување на благајнички максимум во благајната, на менувачко </w:t>
      </w:r>
      <w:r w:rsidRPr="006B7092">
        <w:rPr>
          <w:rFonts w:cs="Arial"/>
          <w:sz w:val="24"/>
          <w:szCs w:val="24"/>
        </w:rPr>
        <w:lastRenderedPageBreak/>
        <w:t xml:space="preserve">работење и Закон за СППФТ, на трансакциите преку </w:t>
      </w:r>
      <w:proofErr w:type="spellStart"/>
      <w:r w:rsidRPr="006B7092">
        <w:rPr>
          <w:rFonts w:cs="Arial"/>
          <w:sz w:val="24"/>
          <w:szCs w:val="24"/>
          <w:lang w:val="en-US"/>
        </w:rPr>
        <w:t>Moneygramm</w:t>
      </w:r>
      <w:proofErr w:type="spellEnd"/>
      <w:r w:rsidRPr="006B7092">
        <w:rPr>
          <w:rFonts w:cs="Arial"/>
          <w:sz w:val="24"/>
          <w:szCs w:val="24"/>
          <w:lang w:val="en-US"/>
        </w:rPr>
        <w:t xml:space="preserve">, </w:t>
      </w:r>
      <w:r w:rsidRPr="006B7092">
        <w:rPr>
          <w:rFonts w:cs="Arial"/>
          <w:sz w:val="24"/>
          <w:szCs w:val="24"/>
        </w:rPr>
        <w:t>на платен промет во делот на оперативното работење во експозитурата, на депозитно работење со физички лица во експозитурата, на трансакциски сметки, денарски и девизни со физички и правни лица во експозитурата, на картично работење со дебитни и кредитни картички во експозитурата, на кредити на физички лица, наменски и ненаменски, како и на извештаите доставени до раководителот на Сектор за развој на бизнис и физички лица од експозитурата.</w:t>
      </w:r>
    </w:p>
    <w:p w:rsidR="00B42F14" w:rsidRPr="006B7092" w:rsidRDefault="00B42F14" w:rsidP="006B7092">
      <w:pPr>
        <w:pStyle w:val="Default"/>
        <w:ind w:left="720"/>
        <w:jc w:val="both"/>
        <w:rPr>
          <w:rFonts w:asciiTheme="minorHAnsi" w:hAnsiTheme="minorHAnsi" w:cs="Arial"/>
          <w:color w:val="auto"/>
        </w:rPr>
      </w:pPr>
    </w:p>
    <w:p w:rsidR="00B11C4D" w:rsidRDefault="00B11C4D" w:rsidP="00B11C4D">
      <w:pPr>
        <w:pStyle w:val="ListParagraph"/>
        <w:spacing w:after="0"/>
        <w:jc w:val="both"/>
        <w:rPr>
          <w:rFonts w:cs="Arial"/>
          <w:sz w:val="24"/>
          <w:szCs w:val="24"/>
        </w:rPr>
      </w:pPr>
      <w:r w:rsidRPr="006B7092">
        <w:rPr>
          <w:rFonts w:cs="Arial"/>
          <w:sz w:val="24"/>
          <w:szCs w:val="24"/>
        </w:rPr>
        <w:t xml:space="preserve">Беше заклучено дека во моментот на ревизијата Банката е усогласена со </w:t>
      </w:r>
      <w:r>
        <w:rPr>
          <w:rFonts w:cs="Arial"/>
          <w:sz w:val="24"/>
          <w:szCs w:val="24"/>
        </w:rPr>
        <w:t>2 од 3-те</w:t>
      </w:r>
      <w:r w:rsidRPr="006B7092">
        <w:rPr>
          <w:rFonts w:cs="Arial"/>
          <w:sz w:val="24"/>
          <w:szCs w:val="24"/>
        </w:rPr>
        <w:t xml:space="preserve"> препораки </w:t>
      </w:r>
      <w:r>
        <w:rPr>
          <w:rFonts w:cs="Arial"/>
          <w:sz w:val="24"/>
          <w:szCs w:val="24"/>
        </w:rPr>
        <w:t>дадени од претходната внатрешна ревизија.</w:t>
      </w:r>
    </w:p>
    <w:p w:rsidR="00B11C4D" w:rsidRDefault="00B11C4D" w:rsidP="00B11C4D">
      <w:pPr>
        <w:pStyle w:val="ListParagraph"/>
        <w:spacing w:after="0"/>
        <w:jc w:val="both"/>
        <w:rPr>
          <w:rFonts w:cs="Arial"/>
          <w:sz w:val="24"/>
          <w:szCs w:val="24"/>
        </w:rPr>
      </w:pPr>
    </w:p>
    <w:p w:rsidR="00B11C4D" w:rsidRPr="006B7092" w:rsidRDefault="00B11C4D" w:rsidP="00B11C4D">
      <w:pPr>
        <w:pStyle w:val="ListParagraph"/>
        <w:spacing w:after="0"/>
        <w:jc w:val="both"/>
        <w:rPr>
          <w:rFonts w:cs="Arial"/>
          <w:sz w:val="24"/>
          <w:szCs w:val="24"/>
          <w:lang w:val="en-US"/>
        </w:rPr>
      </w:pPr>
      <w:r>
        <w:rPr>
          <w:rFonts w:cs="Arial"/>
          <w:sz w:val="24"/>
          <w:szCs w:val="24"/>
        </w:rPr>
        <w:t xml:space="preserve">Освен </w:t>
      </w:r>
      <w:r w:rsidR="00227FE3">
        <w:rPr>
          <w:rFonts w:cs="Arial"/>
          <w:sz w:val="24"/>
          <w:szCs w:val="24"/>
        </w:rPr>
        <w:t>старата</w:t>
      </w:r>
      <w:r>
        <w:rPr>
          <w:rFonts w:cs="Arial"/>
          <w:sz w:val="24"/>
          <w:szCs w:val="24"/>
        </w:rPr>
        <w:t xml:space="preserve"> неусогласена препорака, д</w:t>
      </w:r>
      <w:r w:rsidRPr="006B7092">
        <w:rPr>
          <w:rFonts w:cs="Arial"/>
          <w:sz w:val="24"/>
          <w:szCs w:val="24"/>
        </w:rPr>
        <w:t>аден</w:t>
      </w:r>
      <w:r>
        <w:rPr>
          <w:rFonts w:cs="Arial"/>
          <w:sz w:val="24"/>
          <w:szCs w:val="24"/>
        </w:rPr>
        <w:t>и</w:t>
      </w:r>
      <w:r w:rsidRPr="006B7092">
        <w:rPr>
          <w:rFonts w:cs="Arial"/>
          <w:sz w:val="24"/>
          <w:szCs w:val="24"/>
        </w:rPr>
        <w:t xml:space="preserve"> </w:t>
      </w:r>
      <w:r>
        <w:rPr>
          <w:rFonts w:cs="Arial"/>
          <w:sz w:val="24"/>
          <w:szCs w:val="24"/>
        </w:rPr>
        <w:t>с</w:t>
      </w:r>
      <w:r w:rsidRPr="006B7092">
        <w:rPr>
          <w:rFonts w:cs="Arial"/>
          <w:sz w:val="24"/>
          <w:szCs w:val="24"/>
        </w:rPr>
        <w:t xml:space="preserve">е </w:t>
      </w:r>
      <w:r>
        <w:rPr>
          <w:rFonts w:cs="Arial"/>
          <w:sz w:val="24"/>
          <w:szCs w:val="24"/>
        </w:rPr>
        <w:t>4</w:t>
      </w:r>
      <w:r w:rsidRPr="006B7092">
        <w:rPr>
          <w:rFonts w:cs="Arial"/>
          <w:sz w:val="24"/>
          <w:szCs w:val="24"/>
        </w:rPr>
        <w:t xml:space="preserve"> </w:t>
      </w:r>
      <w:r>
        <w:rPr>
          <w:rFonts w:cs="Arial"/>
          <w:sz w:val="24"/>
          <w:szCs w:val="24"/>
        </w:rPr>
        <w:t xml:space="preserve">нови </w:t>
      </w:r>
      <w:r w:rsidRPr="006B7092">
        <w:rPr>
          <w:rFonts w:cs="Arial"/>
          <w:sz w:val="24"/>
          <w:szCs w:val="24"/>
        </w:rPr>
        <w:t>препорак</w:t>
      </w:r>
      <w:r>
        <w:rPr>
          <w:rFonts w:cs="Arial"/>
          <w:sz w:val="24"/>
          <w:szCs w:val="24"/>
        </w:rPr>
        <w:t>и</w:t>
      </w:r>
      <w:r w:rsidRPr="006B7092">
        <w:rPr>
          <w:rFonts w:cs="Arial"/>
          <w:sz w:val="24"/>
          <w:szCs w:val="24"/>
        </w:rPr>
        <w:t xml:space="preserve"> од Службата за внатрешна ревизија ко</w:t>
      </w:r>
      <w:r>
        <w:rPr>
          <w:rFonts w:cs="Arial"/>
          <w:sz w:val="24"/>
          <w:szCs w:val="24"/>
        </w:rPr>
        <w:t>и</w:t>
      </w:r>
      <w:r w:rsidRPr="006B7092">
        <w:rPr>
          <w:rFonts w:cs="Arial"/>
          <w:sz w:val="24"/>
          <w:szCs w:val="24"/>
        </w:rPr>
        <w:t xml:space="preserve"> мож</w:t>
      </w:r>
      <w:r>
        <w:rPr>
          <w:rFonts w:cs="Arial"/>
          <w:sz w:val="24"/>
          <w:szCs w:val="24"/>
        </w:rPr>
        <w:t>ат</w:t>
      </w:r>
      <w:r w:rsidRPr="006B7092">
        <w:rPr>
          <w:rFonts w:cs="Arial"/>
          <w:sz w:val="24"/>
          <w:szCs w:val="24"/>
        </w:rPr>
        <w:t xml:space="preserve"> да се вид</w:t>
      </w:r>
      <w:r>
        <w:rPr>
          <w:rFonts w:cs="Arial"/>
          <w:sz w:val="24"/>
          <w:szCs w:val="24"/>
        </w:rPr>
        <w:t>ат</w:t>
      </w:r>
      <w:r w:rsidRPr="006B7092">
        <w:rPr>
          <w:rFonts w:cs="Arial"/>
          <w:sz w:val="24"/>
          <w:szCs w:val="24"/>
        </w:rPr>
        <w:t xml:space="preserve"> во Сумарниот извештај за наодите, препораките и статусот (табеларен прегл</w:t>
      </w:r>
      <w:r>
        <w:rPr>
          <w:rFonts w:cs="Arial"/>
          <w:sz w:val="24"/>
          <w:szCs w:val="24"/>
        </w:rPr>
        <w:t>ед), во прилог на овој Извештај.</w:t>
      </w:r>
    </w:p>
    <w:p w:rsidR="00282428" w:rsidRPr="006B7092" w:rsidRDefault="00282428" w:rsidP="006B7092">
      <w:pPr>
        <w:pStyle w:val="Default"/>
        <w:ind w:left="720"/>
        <w:jc w:val="both"/>
        <w:rPr>
          <w:rFonts w:asciiTheme="minorHAnsi" w:hAnsiTheme="minorHAnsi" w:cs="Arial"/>
          <w:b/>
          <w:color w:val="auto"/>
        </w:rPr>
      </w:pPr>
    </w:p>
    <w:p w:rsidR="005A729C" w:rsidRPr="003327F8" w:rsidRDefault="003327F8" w:rsidP="006B7092">
      <w:pPr>
        <w:pStyle w:val="ListParagraph"/>
        <w:numPr>
          <w:ilvl w:val="0"/>
          <w:numId w:val="16"/>
        </w:numPr>
        <w:spacing w:after="0"/>
        <w:jc w:val="both"/>
        <w:rPr>
          <w:rFonts w:cs="Arial"/>
          <w:b/>
          <w:sz w:val="24"/>
          <w:szCs w:val="24"/>
        </w:rPr>
      </w:pPr>
      <w:r w:rsidRPr="003327F8">
        <w:rPr>
          <w:rFonts w:cs="Arial"/>
          <w:b/>
          <w:sz w:val="24"/>
          <w:szCs w:val="24"/>
        </w:rPr>
        <w:t>Извештај за извршената внатрешна ревизија на Служба за контрола на усогласеност со прописи (СКУП) до 31.08.2015 година</w:t>
      </w:r>
      <w:r w:rsidR="00CA59BA" w:rsidRPr="003327F8">
        <w:rPr>
          <w:rFonts w:cs="Arial"/>
          <w:b/>
          <w:sz w:val="24"/>
          <w:szCs w:val="24"/>
        </w:rPr>
        <w:t>.</w:t>
      </w:r>
    </w:p>
    <w:p w:rsidR="005A729C" w:rsidRPr="006B7092" w:rsidRDefault="005A729C" w:rsidP="006B7092">
      <w:pPr>
        <w:pStyle w:val="Default"/>
        <w:ind w:left="720"/>
        <w:jc w:val="both"/>
        <w:rPr>
          <w:rFonts w:asciiTheme="minorHAnsi" w:hAnsiTheme="minorHAnsi" w:cs="Arial"/>
          <w:b/>
          <w:color w:val="auto"/>
        </w:rPr>
      </w:pPr>
    </w:p>
    <w:p w:rsidR="007111F8" w:rsidRPr="00AE3C68" w:rsidRDefault="00CA59BA" w:rsidP="007111F8">
      <w:pPr>
        <w:pStyle w:val="ListParagraph"/>
        <w:spacing w:after="0"/>
        <w:jc w:val="both"/>
        <w:rPr>
          <w:rFonts w:cs="Arial"/>
          <w:sz w:val="24"/>
          <w:szCs w:val="24"/>
        </w:rPr>
      </w:pPr>
      <w:r w:rsidRPr="006B7092">
        <w:rPr>
          <w:rFonts w:cs="Arial"/>
          <w:sz w:val="24"/>
          <w:szCs w:val="24"/>
        </w:rPr>
        <w:t xml:space="preserve">Беше извршена ревизија на почитување на </w:t>
      </w:r>
      <w:r w:rsidR="007111F8" w:rsidRPr="00AE3C68">
        <w:rPr>
          <w:rFonts w:cs="Arial"/>
          <w:sz w:val="24"/>
          <w:szCs w:val="24"/>
        </w:rPr>
        <w:t>одредбите од Закон за Банки (Службен весник на РМ бр. 67/2007, 90/2009</w:t>
      </w:r>
      <w:r w:rsidR="007111F8" w:rsidRPr="00AE3C68">
        <w:rPr>
          <w:rFonts w:cs="Arial"/>
          <w:sz w:val="24"/>
          <w:szCs w:val="24"/>
          <w:lang w:val="en-US"/>
        </w:rPr>
        <w:t>,</w:t>
      </w:r>
      <w:r w:rsidR="007111F8" w:rsidRPr="00AE3C68">
        <w:rPr>
          <w:rFonts w:cs="Arial"/>
          <w:sz w:val="24"/>
          <w:szCs w:val="24"/>
        </w:rPr>
        <w:t xml:space="preserve"> 67/2010 и 26/2013), Одлуката за основните принципи за корпоративно управување (Службен весник на РМ бр. 159/07), како и на</w:t>
      </w:r>
      <w:r w:rsidR="007111F8">
        <w:rPr>
          <w:rFonts w:cs="Arial"/>
          <w:sz w:val="24"/>
          <w:szCs w:val="24"/>
        </w:rPr>
        <w:t xml:space="preserve"> останатата законска регулатива, на </w:t>
      </w:r>
      <w:r w:rsidR="007111F8" w:rsidRPr="00AE3C68">
        <w:rPr>
          <w:rFonts w:cs="Arial"/>
          <w:sz w:val="24"/>
          <w:szCs w:val="24"/>
        </w:rPr>
        <w:t>Почитување на Програмата за работа на Службата за контрола на усогласеноста со прописи (СКУП), како и на ост</w:t>
      </w:r>
      <w:r w:rsidR="007111F8">
        <w:rPr>
          <w:rFonts w:cs="Arial"/>
          <w:sz w:val="24"/>
          <w:szCs w:val="24"/>
        </w:rPr>
        <w:t xml:space="preserve">анатите интерни акти на Банката, на </w:t>
      </w:r>
      <w:r w:rsidR="007111F8" w:rsidRPr="00AE3C68">
        <w:rPr>
          <w:rFonts w:cs="Arial"/>
          <w:sz w:val="24"/>
          <w:szCs w:val="24"/>
        </w:rPr>
        <w:t>Извештаи</w:t>
      </w:r>
      <w:r w:rsidR="007111F8">
        <w:rPr>
          <w:rFonts w:cs="Arial"/>
          <w:sz w:val="24"/>
          <w:szCs w:val="24"/>
        </w:rPr>
        <w:t>те</w:t>
      </w:r>
      <w:r w:rsidR="007111F8" w:rsidRPr="00AE3C68">
        <w:rPr>
          <w:rFonts w:cs="Arial"/>
          <w:sz w:val="24"/>
          <w:szCs w:val="24"/>
        </w:rPr>
        <w:t xml:space="preserve"> доставени до НБРМ</w:t>
      </w:r>
      <w:r w:rsidR="007111F8">
        <w:rPr>
          <w:rFonts w:cs="Arial"/>
          <w:sz w:val="24"/>
          <w:szCs w:val="24"/>
        </w:rPr>
        <w:t xml:space="preserve">, како и на </w:t>
      </w:r>
      <w:r w:rsidR="007111F8" w:rsidRPr="00AE3C68">
        <w:rPr>
          <w:rFonts w:cs="Arial"/>
          <w:sz w:val="24"/>
          <w:szCs w:val="24"/>
        </w:rPr>
        <w:t>Извештаи</w:t>
      </w:r>
      <w:r w:rsidR="007111F8">
        <w:rPr>
          <w:rFonts w:cs="Arial"/>
          <w:sz w:val="24"/>
          <w:szCs w:val="24"/>
        </w:rPr>
        <w:t>те</w:t>
      </w:r>
      <w:r w:rsidR="007111F8" w:rsidRPr="00AE3C68">
        <w:rPr>
          <w:rFonts w:cs="Arial"/>
          <w:sz w:val="24"/>
          <w:szCs w:val="24"/>
        </w:rPr>
        <w:t xml:space="preserve"> доставени до Управен одбор и Надзорен одбор.</w:t>
      </w:r>
    </w:p>
    <w:p w:rsidR="005A729C" w:rsidRPr="006B7092" w:rsidRDefault="005A729C" w:rsidP="006B7092">
      <w:pPr>
        <w:pStyle w:val="Default"/>
        <w:ind w:left="720"/>
        <w:jc w:val="both"/>
        <w:rPr>
          <w:rFonts w:asciiTheme="minorHAnsi" w:hAnsiTheme="minorHAnsi" w:cs="Arial"/>
          <w:color w:val="auto"/>
        </w:rPr>
      </w:pPr>
    </w:p>
    <w:p w:rsidR="00941DE1" w:rsidRPr="006B7092" w:rsidRDefault="00941DE1" w:rsidP="00941DE1">
      <w:pPr>
        <w:pStyle w:val="ListParagraph"/>
        <w:spacing w:after="0"/>
        <w:jc w:val="both"/>
        <w:rPr>
          <w:rFonts w:cs="Arial"/>
          <w:sz w:val="24"/>
          <w:szCs w:val="24"/>
        </w:rPr>
      </w:pPr>
      <w:r w:rsidRPr="006B7092">
        <w:rPr>
          <w:rFonts w:cs="Arial"/>
          <w:sz w:val="24"/>
          <w:szCs w:val="24"/>
        </w:rPr>
        <w:t>Со извршената ревизија, не беа најдени никакви неусогласености.</w:t>
      </w:r>
    </w:p>
    <w:p w:rsidR="00CA59BA" w:rsidRPr="006B7092" w:rsidRDefault="00CA59BA" w:rsidP="006B7092">
      <w:pPr>
        <w:pStyle w:val="Default"/>
        <w:ind w:left="720"/>
        <w:jc w:val="both"/>
        <w:rPr>
          <w:rFonts w:asciiTheme="minorHAnsi" w:hAnsiTheme="minorHAnsi" w:cs="Arial"/>
          <w:color w:val="auto"/>
        </w:rPr>
      </w:pPr>
    </w:p>
    <w:p w:rsidR="00CA59BA" w:rsidRPr="006B7092" w:rsidRDefault="00D776DF" w:rsidP="006B7092">
      <w:pPr>
        <w:pStyle w:val="ListParagraph"/>
        <w:numPr>
          <w:ilvl w:val="0"/>
          <w:numId w:val="16"/>
        </w:numPr>
        <w:spacing w:after="0"/>
        <w:jc w:val="both"/>
        <w:rPr>
          <w:rFonts w:cs="Arial"/>
          <w:b/>
          <w:sz w:val="24"/>
          <w:szCs w:val="24"/>
        </w:rPr>
      </w:pPr>
      <w:r w:rsidRPr="00D776DF">
        <w:rPr>
          <w:rFonts w:cs="Arial"/>
          <w:b/>
          <w:sz w:val="24"/>
          <w:szCs w:val="24"/>
        </w:rPr>
        <w:t>Извештај за извршената внатрешна ревизија на шалтер УТМС на ден 25.09.2015 година</w:t>
      </w:r>
      <w:r w:rsidR="00732BCC" w:rsidRPr="006B7092">
        <w:rPr>
          <w:rFonts w:cs="Arial"/>
          <w:b/>
          <w:sz w:val="24"/>
          <w:szCs w:val="24"/>
        </w:rPr>
        <w:t>.</w:t>
      </w:r>
    </w:p>
    <w:p w:rsidR="006227B5" w:rsidRPr="006B7092" w:rsidRDefault="006227B5" w:rsidP="006B7092">
      <w:pPr>
        <w:pStyle w:val="Default"/>
        <w:ind w:left="720"/>
        <w:jc w:val="both"/>
        <w:rPr>
          <w:rFonts w:asciiTheme="minorHAnsi" w:hAnsiTheme="minorHAnsi" w:cs="Arial"/>
          <w:b/>
          <w:color w:val="auto"/>
        </w:rPr>
      </w:pPr>
    </w:p>
    <w:p w:rsidR="00256690" w:rsidRPr="00475627" w:rsidRDefault="00256690" w:rsidP="002F6241">
      <w:pPr>
        <w:pStyle w:val="ListParagraph"/>
        <w:spacing w:after="0"/>
        <w:jc w:val="both"/>
        <w:rPr>
          <w:rFonts w:cs="Arial"/>
          <w:sz w:val="24"/>
          <w:szCs w:val="24"/>
        </w:rPr>
      </w:pPr>
      <w:r w:rsidRPr="00475627">
        <w:rPr>
          <w:rFonts w:cs="Arial"/>
          <w:sz w:val="24"/>
          <w:szCs w:val="24"/>
        </w:rPr>
        <w:t xml:space="preserve">Беше извршен попис на благајната во </w:t>
      </w:r>
      <w:r w:rsidR="00475627" w:rsidRPr="00475627">
        <w:rPr>
          <w:rFonts w:cs="Arial"/>
          <w:sz w:val="24"/>
          <w:szCs w:val="24"/>
        </w:rPr>
        <w:t xml:space="preserve">шалтерот, попис на готовината и мениците, ревизија на почитување на благајнички максимум во благајната, на менувачко работење и Закон за СППФТ, на трансакции преку </w:t>
      </w:r>
      <w:proofErr w:type="spellStart"/>
      <w:r w:rsidR="00475627" w:rsidRPr="00475627">
        <w:rPr>
          <w:rFonts w:cs="Arial"/>
          <w:sz w:val="24"/>
          <w:szCs w:val="24"/>
          <w:lang w:val="en-US"/>
        </w:rPr>
        <w:t>Moneygramm</w:t>
      </w:r>
      <w:proofErr w:type="spellEnd"/>
      <w:r w:rsidR="00475627" w:rsidRPr="00475627">
        <w:rPr>
          <w:rFonts w:cs="Arial"/>
          <w:sz w:val="24"/>
          <w:szCs w:val="24"/>
        </w:rPr>
        <w:t xml:space="preserve">, на латен промет во делот на оперативното работење во шалтерот, на депозитно работење со физички лица во шалтерот, на трансакциски сметки, денарски и девизни на физички лица во шалтерот, на трансакциски сметки, денарски и девизни на правни лица во шалтерот, на картично работење со дебитни картички во шалтерот, како и на </w:t>
      </w:r>
      <w:r w:rsidR="00475627">
        <w:rPr>
          <w:rFonts w:cs="Arial"/>
          <w:sz w:val="24"/>
          <w:szCs w:val="24"/>
        </w:rPr>
        <w:t>и</w:t>
      </w:r>
      <w:r w:rsidR="00475627" w:rsidRPr="00475627">
        <w:rPr>
          <w:rFonts w:cs="Arial"/>
          <w:sz w:val="24"/>
          <w:szCs w:val="24"/>
        </w:rPr>
        <w:t>звештаи</w:t>
      </w:r>
      <w:r w:rsidR="00475627">
        <w:rPr>
          <w:rFonts w:cs="Arial"/>
          <w:sz w:val="24"/>
          <w:szCs w:val="24"/>
        </w:rPr>
        <w:t>те</w:t>
      </w:r>
      <w:r w:rsidR="00475627" w:rsidRPr="00475627">
        <w:rPr>
          <w:rFonts w:cs="Arial"/>
          <w:sz w:val="24"/>
          <w:szCs w:val="24"/>
        </w:rPr>
        <w:t xml:space="preserve"> доставени до раководителот на Сектор за развој на бизнис и физички лица од шалтерот</w:t>
      </w:r>
      <w:r w:rsidR="00475627">
        <w:rPr>
          <w:rFonts w:cs="Arial"/>
          <w:sz w:val="24"/>
          <w:szCs w:val="24"/>
        </w:rPr>
        <w:t>.</w:t>
      </w:r>
    </w:p>
    <w:p w:rsidR="006227B5" w:rsidRPr="006B7092" w:rsidRDefault="006227B5" w:rsidP="006B7092">
      <w:pPr>
        <w:pStyle w:val="Default"/>
        <w:ind w:left="720"/>
        <w:jc w:val="both"/>
        <w:rPr>
          <w:rFonts w:asciiTheme="minorHAnsi" w:hAnsiTheme="minorHAnsi" w:cs="Arial"/>
          <w:b/>
          <w:color w:val="auto"/>
        </w:rPr>
      </w:pPr>
    </w:p>
    <w:p w:rsidR="002F4374" w:rsidRPr="006B7092" w:rsidRDefault="002F4374" w:rsidP="002F4374">
      <w:pPr>
        <w:pStyle w:val="ListParagraph"/>
        <w:spacing w:after="0"/>
        <w:jc w:val="both"/>
        <w:rPr>
          <w:rFonts w:cs="Arial"/>
          <w:sz w:val="24"/>
          <w:szCs w:val="24"/>
          <w:lang w:val="en-US"/>
        </w:rPr>
      </w:pPr>
      <w:r w:rsidRPr="006B7092">
        <w:rPr>
          <w:rFonts w:cs="Arial"/>
          <w:sz w:val="24"/>
          <w:szCs w:val="24"/>
        </w:rPr>
        <w:lastRenderedPageBreak/>
        <w:t xml:space="preserve">Беше заклучено дека во моментот на ревизијата Банката </w:t>
      </w:r>
      <w:r>
        <w:rPr>
          <w:rFonts w:cs="Arial"/>
          <w:sz w:val="24"/>
          <w:szCs w:val="24"/>
        </w:rPr>
        <w:t xml:space="preserve">не </w:t>
      </w:r>
      <w:r w:rsidRPr="006B7092">
        <w:rPr>
          <w:rFonts w:cs="Arial"/>
          <w:sz w:val="24"/>
          <w:szCs w:val="24"/>
        </w:rPr>
        <w:t>е усогласена со препорак</w:t>
      </w:r>
      <w:r>
        <w:rPr>
          <w:rFonts w:cs="Arial"/>
          <w:sz w:val="24"/>
          <w:szCs w:val="24"/>
        </w:rPr>
        <w:t>ата</w:t>
      </w:r>
      <w:r w:rsidRPr="006B7092">
        <w:rPr>
          <w:rFonts w:cs="Arial"/>
          <w:sz w:val="24"/>
          <w:szCs w:val="24"/>
        </w:rPr>
        <w:t xml:space="preserve"> </w:t>
      </w:r>
      <w:r>
        <w:rPr>
          <w:rFonts w:cs="Arial"/>
          <w:sz w:val="24"/>
          <w:szCs w:val="24"/>
        </w:rPr>
        <w:t>дадена од претходната внатрешна ревизија, со што истата се повтори со новата ревизија и</w:t>
      </w:r>
      <w:r w:rsidRPr="006B7092">
        <w:rPr>
          <w:rFonts w:cs="Arial"/>
          <w:sz w:val="24"/>
          <w:szCs w:val="24"/>
        </w:rPr>
        <w:t xml:space="preserve"> мож</w:t>
      </w:r>
      <w:r>
        <w:rPr>
          <w:rFonts w:cs="Arial"/>
          <w:sz w:val="24"/>
          <w:szCs w:val="24"/>
        </w:rPr>
        <w:t>е</w:t>
      </w:r>
      <w:r w:rsidRPr="006B7092">
        <w:rPr>
          <w:rFonts w:cs="Arial"/>
          <w:sz w:val="24"/>
          <w:szCs w:val="24"/>
        </w:rPr>
        <w:t xml:space="preserve"> да се вид</w:t>
      </w:r>
      <w:r>
        <w:rPr>
          <w:rFonts w:cs="Arial"/>
          <w:sz w:val="24"/>
          <w:szCs w:val="24"/>
        </w:rPr>
        <w:t>и</w:t>
      </w:r>
      <w:r w:rsidRPr="006B7092">
        <w:rPr>
          <w:rFonts w:cs="Arial"/>
          <w:sz w:val="24"/>
          <w:szCs w:val="24"/>
        </w:rPr>
        <w:t xml:space="preserve"> во Сумарниот извештај за наодите, препораките и статусот (табеларен прегл</w:t>
      </w:r>
      <w:r>
        <w:rPr>
          <w:rFonts w:cs="Arial"/>
          <w:sz w:val="24"/>
          <w:szCs w:val="24"/>
        </w:rPr>
        <w:t>ед), во прилог на овој Извештај.</w:t>
      </w:r>
    </w:p>
    <w:p w:rsidR="00732BCC" w:rsidRPr="006B7092" w:rsidRDefault="00732BCC" w:rsidP="006B7092">
      <w:pPr>
        <w:pStyle w:val="Default"/>
        <w:ind w:left="720"/>
        <w:jc w:val="both"/>
        <w:rPr>
          <w:rFonts w:asciiTheme="minorHAnsi" w:hAnsiTheme="minorHAnsi" w:cs="Arial"/>
          <w:b/>
          <w:color w:val="auto"/>
        </w:rPr>
      </w:pPr>
    </w:p>
    <w:p w:rsidR="00732BCC" w:rsidRPr="006B7092" w:rsidRDefault="00882585" w:rsidP="006B7092">
      <w:pPr>
        <w:pStyle w:val="ListParagraph"/>
        <w:numPr>
          <w:ilvl w:val="0"/>
          <w:numId w:val="16"/>
        </w:numPr>
        <w:spacing w:after="0"/>
        <w:jc w:val="both"/>
        <w:rPr>
          <w:rFonts w:cs="Arial"/>
          <w:b/>
          <w:sz w:val="24"/>
          <w:szCs w:val="24"/>
        </w:rPr>
      </w:pPr>
      <w:r w:rsidRPr="00882585">
        <w:rPr>
          <w:rFonts w:cs="Arial"/>
          <w:b/>
          <w:sz w:val="24"/>
          <w:szCs w:val="24"/>
        </w:rPr>
        <w:t>Извештај за извршената внатрешна ревизија на шалтер АМСМ ЧАИР на ден 19.10.2015 година</w:t>
      </w:r>
      <w:r w:rsidR="008426DD" w:rsidRPr="006B7092">
        <w:rPr>
          <w:rFonts w:cs="Arial"/>
          <w:b/>
          <w:sz w:val="24"/>
          <w:szCs w:val="24"/>
        </w:rPr>
        <w:t>.</w:t>
      </w:r>
    </w:p>
    <w:p w:rsidR="008426DD" w:rsidRPr="006B7092" w:rsidRDefault="008426DD" w:rsidP="006B7092">
      <w:pPr>
        <w:pStyle w:val="Default"/>
        <w:ind w:left="720"/>
        <w:jc w:val="both"/>
        <w:rPr>
          <w:rFonts w:asciiTheme="minorHAnsi" w:hAnsiTheme="minorHAnsi" w:cs="Arial"/>
          <w:b/>
          <w:color w:val="auto"/>
        </w:rPr>
      </w:pPr>
    </w:p>
    <w:p w:rsidR="00882585" w:rsidRPr="00475627" w:rsidRDefault="00882585" w:rsidP="00882585">
      <w:pPr>
        <w:pStyle w:val="ListParagraph"/>
        <w:spacing w:after="0"/>
        <w:jc w:val="both"/>
        <w:rPr>
          <w:rFonts w:cs="Arial"/>
          <w:sz w:val="24"/>
          <w:szCs w:val="24"/>
        </w:rPr>
      </w:pPr>
      <w:r w:rsidRPr="00475627">
        <w:rPr>
          <w:rFonts w:cs="Arial"/>
          <w:sz w:val="24"/>
          <w:szCs w:val="24"/>
        </w:rPr>
        <w:t xml:space="preserve">Беше извршен попис на благајната во шалтерот, попис на готовината и мениците, ревизија на почитување на благајнички максимум во благајната, на менувачко работење и Закон за СППФТ, на трансакции преку </w:t>
      </w:r>
      <w:proofErr w:type="spellStart"/>
      <w:r w:rsidRPr="00475627">
        <w:rPr>
          <w:rFonts w:cs="Arial"/>
          <w:sz w:val="24"/>
          <w:szCs w:val="24"/>
          <w:lang w:val="en-US"/>
        </w:rPr>
        <w:t>Moneygramm</w:t>
      </w:r>
      <w:proofErr w:type="spellEnd"/>
      <w:r w:rsidRPr="00475627">
        <w:rPr>
          <w:rFonts w:cs="Arial"/>
          <w:sz w:val="24"/>
          <w:szCs w:val="24"/>
        </w:rPr>
        <w:t xml:space="preserve">, на латен промет во делот на оперативното работење во шалтерот, на депозитно работење со физички лица во шалтерот, на трансакциски сметки, денарски и девизни на физички лица во шалтерот, на трансакциски сметки, денарски и девизни на правни лица во шалтерот, на картично работење со дебитни картички во шалтерот, како и на </w:t>
      </w:r>
      <w:r>
        <w:rPr>
          <w:rFonts w:cs="Arial"/>
          <w:sz w:val="24"/>
          <w:szCs w:val="24"/>
        </w:rPr>
        <w:t>и</w:t>
      </w:r>
      <w:r w:rsidRPr="00475627">
        <w:rPr>
          <w:rFonts w:cs="Arial"/>
          <w:sz w:val="24"/>
          <w:szCs w:val="24"/>
        </w:rPr>
        <w:t>звештаи</w:t>
      </w:r>
      <w:r>
        <w:rPr>
          <w:rFonts w:cs="Arial"/>
          <w:sz w:val="24"/>
          <w:szCs w:val="24"/>
        </w:rPr>
        <w:t>те</w:t>
      </w:r>
      <w:r w:rsidRPr="00475627">
        <w:rPr>
          <w:rFonts w:cs="Arial"/>
          <w:sz w:val="24"/>
          <w:szCs w:val="24"/>
        </w:rPr>
        <w:t xml:space="preserve"> доставени до раководителот на Сектор за развој на бизнис и физички лица од шалтерот</w:t>
      </w:r>
      <w:r>
        <w:rPr>
          <w:rFonts w:cs="Arial"/>
          <w:sz w:val="24"/>
          <w:szCs w:val="24"/>
        </w:rPr>
        <w:t>.</w:t>
      </w:r>
    </w:p>
    <w:p w:rsidR="009C2019" w:rsidRPr="006B7092" w:rsidRDefault="009C2019" w:rsidP="006B7092">
      <w:pPr>
        <w:spacing w:after="0"/>
        <w:ind w:left="720"/>
        <w:jc w:val="both"/>
        <w:rPr>
          <w:rFonts w:cs="Arial"/>
          <w:sz w:val="24"/>
          <w:szCs w:val="24"/>
        </w:rPr>
      </w:pPr>
    </w:p>
    <w:p w:rsidR="005D5742" w:rsidRPr="006B7092" w:rsidRDefault="005D5742" w:rsidP="005D5742">
      <w:pPr>
        <w:pStyle w:val="ListParagraph"/>
        <w:spacing w:after="0"/>
        <w:jc w:val="both"/>
        <w:rPr>
          <w:rFonts w:cs="Arial"/>
          <w:sz w:val="24"/>
          <w:szCs w:val="24"/>
          <w:lang w:val="en-US"/>
        </w:rPr>
      </w:pPr>
      <w:r w:rsidRPr="006B7092">
        <w:rPr>
          <w:rFonts w:cs="Arial"/>
          <w:sz w:val="24"/>
          <w:szCs w:val="24"/>
        </w:rPr>
        <w:t xml:space="preserve">Беше заклучено дека во моментот на ревизијата Банката </w:t>
      </w:r>
      <w:r>
        <w:rPr>
          <w:rFonts w:cs="Arial"/>
          <w:sz w:val="24"/>
          <w:szCs w:val="24"/>
        </w:rPr>
        <w:t xml:space="preserve">не </w:t>
      </w:r>
      <w:r w:rsidRPr="006B7092">
        <w:rPr>
          <w:rFonts w:cs="Arial"/>
          <w:sz w:val="24"/>
          <w:szCs w:val="24"/>
        </w:rPr>
        <w:t>е усогласена со препорак</w:t>
      </w:r>
      <w:r>
        <w:rPr>
          <w:rFonts w:cs="Arial"/>
          <w:sz w:val="24"/>
          <w:szCs w:val="24"/>
        </w:rPr>
        <w:t>ата</w:t>
      </w:r>
      <w:r w:rsidRPr="006B7092">
        <w:rPr>
          <w:rFonts w:cs="Arial"/>
          <w:sz w:val="24"/>
          <w:szCs w:val="24"/>
        </w:rPr>
        <w:t xml:space="preserve"> </w:t>
      </w:r>
      <w:r>
        <w:rPr>
          <w:rFonts w:cs="Arial"/>
          <w:sz w:val="24"/>
          <w:szCs w:val="24"/>
        </w:rPr>
        <w:t>дадена од претходната внатрешна ревизија, со што истата се повтори со новата ревизија и</w:t>
      </w:r>
      <w:r w:rsidRPr="006B7092">
        <w:rPr>
          <w:rFonts w:cs="Arial"/>
          <w:sz w:val="24"/>
          <w:szCs w:val="24"/>
        </w:rPr>
        <w:t xml:space="preserve"> мож</w:t>
      </w:r>
      <w:r>
        <w:rPr>
          <w:rFonts w:cs="Arial"/>
          <w:sz w:val="24"/>
          <w:szCs w:val="24"/>
        </w:rPr>
        <w:t>е</w:t>
      </w:r>
      <w:r w:rsidRPr="006B7092">
        <w:rPr>
          <w:rFonts w:cs="Arial"/>
          <w:sz w:val="24"/>
          <w:szCs w:val="24"/>
        </w:rPr>
        <w:t xml:space="preserve"> да се вид</w:t>
      </w:r>
      <w:r>
        <w:rPr>
          <w:rFonts w:cs="Arial"/>
          <w:sz w:val="24"/>
          <w:szCs w:val="24"/>
        </w:rPr>
        <w:t>и</w:t>
      </w:r>
      <w:r w:rsidRPr="006B7092">
        <w:rPr>
          <w:rFonts w:cs="Arial"/>
          <w:sz w:val="24"/>
          <w:szCs w:val="24"/>
        </w:rPr>
        <w:t xml:space="preserve"> во Сумарниот извештај за наодите, препораките и статусот (табеларен прегл</w:t>
      </w:r>
      <w:r>
        <w:rPr>
          <w:rFonts w:cs="Arial"/>
          <w:sz w:val="24"/>
          <w:szCs w:val="24"/>
        </w:rPr>
        <w:t>ед), во прилог на овој Извештај.</w:t>
      </w:r>
    </w:p>
    <w:p w:rsidR="008426DD" w:rsidRPr="006B7092" w:rsidRDefault="008426DD" w:rsidP="006B7092">
      <w:pPr>
        <w:pStyle w:val="Default"/>
        <w:ind w:left="720"/>
        <w:jc w:val="both"/>
        <w:rPr>
          <w:rFonts w:asciiTheme="minorHAnsi" w:hAnsiTheme="minorHAnsi" w:cs="Arial"/>
          <w:b/>
          <w:color w:val="auto"/>
        </w:rPr>
      </w:pPr>
    </w:p>
    <w:p w:rsidR="009C2019" w:rsidRPr="006B7092" w:rsidRDefault="000E782B" w:rsidP="006B7092">
      <w:pPr>
        <w:pStyle w:val="ListParagraph"/>
        <w:numPr>
          <w:ilvl w:val="0"/>
          <w:numId w:val="16"/>
        </w:numPr>
        <w:spacing w:after="0"/>
        <w:jc w:val="both"/>
        <w:rPr>
          <w:rFonts w:cs="Arial"/>
          <w:b/>
          <w:sz w:val="24"/>
          <w:szCs w:val="24"/>
        </w:rPr>
      </w:pPr>
      <w:r w:rsidRPr="000E782B">
        <w:rPr>
          <w:rFonts w:cs="Arial"/>
          <w:b/>
          <w:sz w:val="24"/>
          <w:szCs w:val="24"/>
        </w:rPr>
        <w:t>Извештај за извршената внатрешна ревизија на активностите на Банката со кредитните посредници и исполнувањето на договорите за кредитно посредување до 30.09.2015 година</w:t>
      </w:r>
      <w:r w:rsidR="002E4A52" w:rsidRPr="006B7092">
        <w:rPr>
          <w:rFonts w:cs="Arial"/>
          <w:b/>
          <w:sz w:val="24"/>
          <w:szCs w:val="24"/>
        </w:rPr>
        <w:t>.</w:t>
      </w:r>
    </w:p>
    <w:p w:rsidR="009C2019" w:rsidRPr="006B7092" w:rsidRDefault="009C2019" w:rsidP="006B7092">
      <w:pPr>
        <w:pStyle w:val="Default"/>
        <w:ind w:left="720"/>
        <w:jc w:val="both"/>
        <w:rPr>
          <w:rFonts w:asciiTheme="minorHAnsi" w:hAnsiTheme="minorHAnsi" w:cs="Arial"/>
          <w:b/>
          <w:color w:val="auto"/>
        </w:rPr>
      </w:pPr>
    </w:p>
    <w:p w:rsidR="00BC709F" w:rsidRPr="00D8488F" w:rsidRDefault="00B80F7E" w:rsidP="00BC709F">
      <w:pPr>
        <w:pStyle w:val="ListParagraph"/>
        <w:spacing w:after="0"/>
        <w:jc w:val="both"/>
        <w:rPr>
          <w:rFonts w:ascii="Calibri" w:eastAsia="Calibri" w:hAnsi="Calibri" w:cs="Arial"/>
          <w:sz w:val="24"/>
          <w:szCs w:val="24"/>
        </w:rPr>
      </w:pPr>
      <w:r w:rsidRPr="006B7092">
        <w:rPr>
          <w:rFonts w:cs="Arial"/>
          <w:sz w:val="24"/>
          <w:szCs w:val="24"/>
        </w:rPr>
        <w:t xml:space="preserve">Беше </w:t>
      </w:r>
      <w:r w:rsidR="00BC709F">
        <w:rPr>
          <w:rFonts w:cs="Arial"/>
          <w:sz w:val="24"/>
          <w:szCs w:val="24"/>
        </w:rPr>
        <w:t>извршена ревизија на п</w:t>
      </w:r>
      <w:r w:rsidR="00BC709F" w:rsidRPr="00D8488F">
        <w:rPr>
          <w:rFonts w:ascii="Calibri" w:eastAsia="Calibri" w:hAnsi="Calibri" w:cs="Arial"/>
          <w:sz w:val="24"/>
          <w:szCs w:val="24"/>
        </w:rPr>
        <w:t xml:space="preserve">очитување на одредбите од Законот за заштита на потрошувачите при договори за потрошувачки кредити (Службен весник на РМ бр. </w:t>
      </w:r>
      <w:r w:rsidR="00BC709F">
        <w:rPr>
          <w:rFonts w:ascii="Calibri" w:eastAsia="Calibri" w:hAnsi="Calibri" w:cs="Arial"/>
          <w:sz w:val="24"/>
          <w:szCs w:val="24"/>
        </w:rPr>
        <w:t>51</w:t>
      </w:r>
      <w:r w:rsidR="00BC709F" w:rsidRPr="00D8488F">
        <w:rPr>
          <w:rFonts w:ascii="Calibri" w:eastAsia="Calibri" w:hAnsi="Calibri" w:cs="Arial"/>
          <w:sz w:val="24"/>
          <w:szCs w:val="24"/>
        </w:rPr>
        <w:t xml:space="preserve"> – 13.04.2011</w:t>
      </w:r>
      <w:r w:rsidR="00BC709F">
        <w:rPr>
          <w:rFonts w:ascii="Calibri" w:eastAsia="Calibri" w:hAnsi="Calibri" w:cs="Arial"/>
          <w:sz w:val="24"/>
          <w:szCs w:val="24"/>
        </w:rPr>
        <w:t xml:space="preserve"> и бр. 145 – 25.08.2015</w:t>
      </w:r>
      <w:r w:rsidR="00BC709F" w:rsidRPr="00D8488F">
        <w:rPr>
          <w:rFonts w:ascii="Calibri" w:eastAsia="Calibri" w:hAnsi="Calibri" w:cs="Arial"/>
          <w:sz w:val="24"/>
          <w:szCs w:val="24"/>
        </w:rPr>
        <w:t>), Одлуката за начинот и постапката на вршење надзор над банките и штедилниците во доменот на заштитата на потрошувачите при договори за потрошувачки кредити (Службен весник на РМ бр. 91 – 30.06.2011), Одлуката за доставување список на кредитни посредници (Службен весник на РМ бр. 91 – 30.06.2011), како и на</w:t>
      </w:r>
      <w:r w:rsidR="00BC709F">
        <w:rPr>
          <w:rFonts w:cs="Arial"/>
          <w:sz w:val="24"/>
          <w:szCs w:val="24"/>
        </w:rPr>
        <w:t xml:space="preserve"> останатата законска регулатива, на п</w:t>
      </w:r>
      <w:r w:rsidR="00BC709F" w:rsidRPr="00D8488F">
        <w:rPr>
          <w:rFonts w:ascii="Calibri" w:eastAsia="Calibri" w:hAnsi="Calibri" w:cs="Arial"/>
          <w:sz w:val="24"/>
          <w:szCs w:val="24"/>
        </w:rPr>
        <w:t>очитување на Одлуката од УО од 13.03.2012 – Именувања на одговорни лица за известување на НБРМ за активностите на кредитните посредници, Процедурата за прием, одобрување, евидентирање, архивирање и книжење на потрошувачки кредити на физички лица, како и на ост</w:t>
      </w:r>
      <w:r w:rsidR="00BC709F">
        <w:rPr>
          <w:rFonts w:cs="Arial"/>
          <w:sz w:val="24"/>
          <w:szCs w:val="24"/>
        </w:rPr>
        <w:t>анатите интерни акти на Банката, на и</w:t>
      </w:r>
      <w:r w:rsidR="00BC709F" w:rsidRPr="00D8488F">
        <w:rPr>
          <w:rFonts w:ascii="Calibri" w:eastAsia="Calibri" w:hAnsi="Calibri" w:cs="Arial"/>
          <w:sz w:val="24"/>
          <w:szCs w:val="24"/>
        </w:rPr>
        <w:t>звештаи</w:t>
      </w:r>
      <w:r w:rsidR="00BC709F">
        <w:rPr>
          <w:rFonts w:cs="Arial"/>
          <w:sz w:val="24"/>
          <w:szCs w:val="24"/>
        </w:rPr>
        <w:t>те</w:t>
      </w:r>
      <w:r w:rsidR="00BC709F" w:rsidRPr="00D8488F">
        <w:rPr>
          <w:rFonts w:ascii="Calibri" w:eastAsia="Calibri" w:hAnsi="Calibri" w:cs="Arial"/>
          <w:sz w:val="24"/>
          <w:szCs w:val="24"/>
        </w:rPr>
        <w:t xml:space="preserve"> доставени до НБРМ</w:t>
      </w:r>
      <w:r w:rsidR="00BC709F">
        <w:rPr>
          <w:rFonts w:cs="Arial"/>
          <w:sz w:val="24"/>
          <w:szCs w:val="24"/>
        </w:rPr>
        <w:t>, како и на и</w:t>
      </w:r>
      <w:r w:rsidR="00BC709F" w:rsidRPr="00D8488F">
        <w:rPr>
          <w:rFonts w:ascii="Calibri" w:eastAsia="Calibri" w:hAnsi="Calibri" w:cs="Arial"/>
          <w:sz w:val="24"/>
          <w:szCs w:val="24"/>
        </w:rPr>
        <w:t>звештаи доставени до Управен одбор и Надзорен одбор.</w:t>
      </w:r>
    </w:p>
    <w:p w:rsidR="00B80F7E" w:rsidRPr="006B7092" w:rsidRDefault="00B80F7E" w:rsidP="006B7092">
      <w:pPr>
        <w:pStyle w:val="Default"/>
        <w:ind w:left="720"/>
        <w:jc w:val="both"/>
        <w:rPr>
          <w:rFonts w:asciiTheme="minorHAnsi" w:hAnsiTheme="minorHAnsi" w:cs="Arial"/>
          <w:b/>
          <w:color w:val="auto"/>
        </w:rPr>
      </w:pPr>
    </w:p>
    <w:p w:rsidR="00047C53" w:rsidRDefault="00047C53" w:rsidP="00047C53">
      <w:pPr>
        <w:pStyle w:val="ListParagraph"/>
        <w:spacing w:after="0"/>
        <w:jc w:val="both"/>
        <w:rPr>
          <w:rFonts w:cs="Arial"/>
          <w:sz w:val="24"/>
          <w:szCs w:val="24"/>
        </w:rPr>
      </w:pPr>
      <w:r w:rsidRPr="006B7092">
        <w:rPr>
          <w:rFonts w:cs="Arial"/>
          <w:sz w:val="24"/>
          <w:szCs w:val="24"/>
        </w:rPr>
        <w:t>Со извршената ревизија, не беа најдени никакви неусогласености.</w:t>
      </w:r>
    </w:p>
    <w:p w:rsidR="000D03E3" w:rsidRPr="006B7092" w:rsidRDefault="000D03E3" w:rsidP="006B7092">
      <w:pPr>
        <w:pStyle w:val="Default"/>
        <w:ind w:left="720"/>
        <w:jc w:val="both"/>
        <w:rPr>
          <w:rFonts w:asciiTheme="minorHAnsi" w:hAnsiTheme="minorHAnsi" w:cs="Arial"/>
          <w:b/>
          <w:color w:val="auto"/>
        </w:rPr>
      </w:pPr>
    </w:p>
    <w:p w:rsidR="00B80F7E" w:rsidRPr="006B7092" w:rsidRDefault="003D1969" w:rsidP="006B7092">
      <w:pPr>
        <w:pStyle w:val="ListParagraph"/>
        <w:numPr>
          <w:ilvl w:val="0"/>
          <w:numId w:val="16"/>
        </w:numPr>
        <w:spacing w:after="0"/>
        <w:jc w:val="both"/>
        <w:rPr>
          <w:rFonts w:cs="Arial"/>
          <w:b/>
          <w:sz w:val="24"/>
          <w:szCs w:val="24"/>
        </w:rPr>
      </w:pPr>
      <w:r w:rsidRPr="003D1969">
        <w:rPr>
          <w:rFonts w:cs="Arial"/>
          <w:b/>
          <w:sz w:val="24"/>
          <w:szCs w:val="24"/>
        </w:rPr>
        <w:t>Извештај за извршената внатрешна ревизија на експозитура Струмица на ден 30.10.2015 година</w:t>
      </w:r>
      <w:r w:rsidR="00D713FA" w:rsidRPr="006B7092">
        <w:rPr>
          <w:rFonts w:cs="Arial"/>
          <w:b/>
          <w:sz w:val="24"/>
          <w:szCs w:val="24"/>
        </w:rPr>
        <w:t>.</w:t>
      </w:r>
    </w:p>
    <w:p w:rsidR="00B80F7E" w:rsidRPr="006B7092" w:rsidRDefault="00B80F7E" w:rsidP="006B7092">
      <w:pPr>
        <w:pStyle w:val="Default"/>
        <w:ind w:left="720"/>
        <w:jc w:val="both"/>
        <w:rPr>
          <w:rFonts w:asciiTheme="minorHAnsi" w:hAnsiTheme="minorHAnsi" w:cs="Arial"/>
          <w:b/>
          <w:color w:val="auto"/>
        </w:rPr>
      </w:pPr>
    </w:p>
    <w:p w:rsidR="00064BA4" w:rsidRPr="006B7092" w:rsidRDefault="00064BA4" w:rsidP="006B7092">
      <w:pPr>
        <w:pStyle w:val="ListParagraph"/>
        <w:spacing w:after="0"/>
        <w:jc w:val="both"/>
        <w:rPr>
          <w:rFonts w:cs="Arial"/>
          <w:sz w:val="24"/>
          <w:szCs w:val="24"/>
        </w:rPr>
      </w:pPr>
      <w:r w:rsidRPr="006B7092">
        <w:rPr>
          <w:rFonts w:cs="Arial"/>
          <w:sz w:val="24"/>
          <w:szCs w:val="24"/>
        </w:rPr>
        <w:t>Беше извршен попис на благајн</w:t>
      </w:r>
      <w:r w:rsidR="003D1969">
        <w:rPr>
          <w:rFonts w:cs="Arial"/>
          <w:sz w:val="24"/>
          <w:szCs w:val="24"/>
        </w:rPr>
        <w:t>ите</w:t>
      </w:r>
      <w:r w:rsidRPr="006B7092">
        <w:rPr>
          <w:rFonts w:cs="Arial"/>
          <w:sz w:val="24"/>
          <w:szCs w:val="24"/>
        </w:rPr>
        <w:t xml:space="preserve"> во експозитурата</w:t>
      </w:r>
      <w:r w:rsidR="003D1969">
        <w:rPr>
          <w:rFonts w:cs="Arial"/>
          <w:sz w:val="24"/>
          <w:szCs w:val="24"/>
        </w:rPr>
        <w:t>, како и на банкоматот</w:t>
      </w:r>
      <w:r w:rsidRPr="006B7092">
        <w:rPr>
          <w:rFonts w:cs="Arial"/>
          <w:sz w:val="24"/>
          <w:szCs w:val="24"/>
        </w:rPr>
        <w:t xml:space="preserve">, </w:t>
      </w:r>
      <w:r w:rsidR="003D1969">
        <w:rPr>
          <w:rFonts w:cs="Arial"/>
          <w:sz w:val="24"/>
          <w:szCs w:val="24"/>
        </w:rPr>
        <w:t>како и ревизија на</w:t>
      </w:r>
      <w:r w:rsidRPr="006B7092">
        <w:rPr>
          <w:rFonts w:cs="Arial"/>
          <w:sz w:val="24"/>
          <w:szCs w:val="24"/>
        </w:rPr>
        <w:t xml:space="preserve"> почитување на благајнички максимум во благајната, на менувачко работење и Закон за СППФТ, </w:t>
      </w:r>
      <w:r w:rsidR="00DE17D2" w:rsidRPr="006B7092">
        <w:rPr>
          <w:rFonts w:cs="Arial"/>
          <w:sz w:val="24"/>
          <w:szCs w:val="24"/>
        </w:rPr>
        <w:t xml:space="preserve">на трансакциите преку </w:t>
      </w:r>
      <w:proofErr w:type="spellStart"/>
      <w:r w:rsidR="00DE17D2" w:rsidRPr="006B7092">
        <w:rPr>
          <w:rFonts w:cs="Arial"/>
          <w:sz w:val="24"/>
          <w:szCs w:val="24"/>
          <w:lang w:val="en-US"/>
        </w:rPr>
        <w:t>Moneygramm</w:t>
      </w:r>
      <w:proofErr w:type="spellEnd"/>
      <w:r w:rsidR="00DE17D2" w:rsidRPr="006B7092">
        <w:rPr>
          <w:rFonts w:cs="Arial"/>
          <w:sz w:val="24"/>
          <w:szCs w:val="24"/>
          <w:lang w:val="en-US"/>
        </w:rPr>
        <w:t xml:space="preserve">, </w:t>
      </w:r>
      <w:r w:rsidRPr="006B7092">
        <w:rPr>
          <w:rFonts w:cs="Arial"/>
          <w:sz w:val="24"/>
          <w:szCs w:val="24"/>
        </w:rPr>
        <w:t>на платен промет во делот на оперативното работење во експозитурата, на депозитно работење со физички лица во експозитурата, на трансакциски сметки, денарски и девизни со физички и правни лица во експозитурата, на картично работење со дебитни и кредитни картички во експозитурата, на кКредити на физички лица, наменски и ненаменски, како и на извештаите доставени до раководителот на Сектор за развој на бизнис и физички лица од експозитурата.</w:t>
      </w:r>
    </w:p>
    <w:p w:rsidR="00064BA4" w:rsidRPr="006B7092" w:rsidRDefault="00064BA4" w:rsidP="006B7092">
      <w:pPr>
        <w:pStyle w:val="Default"/>
        <w:ind w:left="720"/>
        <w:jc w:val="both"/>
        <w:rPr>
          <w:rFonts w:asciiTheme="minorHAnsi" w:hAnsiTheme="minorHAnsi" w:cs="Arial"/>
          <w:b/>
          <w:color w:val="auto"/>
        </w:rPr>
      </w:pPr>
    </w:p>
    <w:p w:rsidR="00321A40" w:rsidRDefault="00321A40" w:rsidP="00321A40">
      <w:pPr>
        <w:pStyle w:val="ListParagraph"/>
        <w:spacing w:after="0"/>
        <w:jc w:val="both"/>
        <w:rPr>
          <w:rFonts w:cs="Arial"/>
          <w:sz w:val="24"/>
          <w:szCs w:val="24"/>
        </w:rPr>
      </w:pPr>
      <w:r w:rsidRPr="006B7092">
        <w:rPr>
          <w:rFonts w:cs="Arial"/>
          <w:sz w:val="24"/>
          <w:szCs w:val="24"/>
        </w:rPr>
        <w:t xml:space="preserve">Беше заклучено дека во моментот на ревизијата Банката е </w:t>
      </w:r>
      <w:r>
        <w:rPr>
          <w:rFonts w:cs="Arial"/>
          <w:sz w:val="24"/>
          <w:szCs w:val="24"/>
        </w:rPr>
        <w:t xml:space="preserve">делумно </w:t>
      </w:r>
      <w:r w:rsidRPr="006B7092">
        <w:rPr>
          <w:rFonts w:cs="Arial"/>
          <w:sz w:val="24"/>
          <w:szCs w:val="24"/>
        </w:rPr>
        <w:t>усогласена со препорак</w:t>
      </w:r>
      <w:r>
        <w:rPr>
          <w:rFonts w:cs="Arial"/>
          <w:sz w:val="24"/>
          <w:szCs w:val="24"/>
        </w:rPr>
        <w:t>ата</w:t>
      </w:r>
      <w:r w:rsidRPr="006B7092">
        <w:rPr>
          <w:rFonts w:cs="Arial"/>
          <w:sz w:val="24"/>
          <w:szCs w:val="24"/>
        </w:rPr>
        <w:t xml:space="preserve"> </w:t>
      </w:r>
      <w:r>
        <w:rPr>
          <w:rFonts w:cs="Arial"/>
          <w:sz w:val="24"/>
          <w:szCs w:val="24"/>
        </w:rPr>
        <w:t>дадена од претходната внатрешна ревизија, со што истата се наведе со новата ревизија како помала забелешка.</w:t>
      </w:r>
    </w:p>
    <w:p w:rsidR="00321A40" w:rsidRDefault="00321A40" w:rsidP="00321A40">
      <w:pPr>
        <w:pStyle w:val="ListParagraph"/>
        <w:spacing w:after="0"/>
        <w:jc w:val="both"/>
        <w:rPr>
          <w:rFonts w:cs="Arial"/>
          <w:sz w:val="24"/>
          <w:szCs w:val="24"/>
        </w:rPr>
      </w:pPr>
    </w:p>
    <w:p w:rsidR="00321A40" w:rsidRPr="006B7092" w:rsidRDefault="00321A40" w:rsidP="00321A40">
      <w:pPr>
        <w:pStyle w:val="ListParagraph"/>
        <w:spacing w:after="0"/>
        <w:jc w:val="both"/>
        <w:rPr>
          <w:rFonts w:cs="Arial"/>
          <w:sz w:val="24"/>
          <w:szCs w:val="24"/>
          <w:lang w:val="en-US"/>
        </w:rPr>
      </w:pPr>
      <w:r>
        <w:rPr>
          <w:rFonts w:cs="Arial"/>
          <w:sz w:val="24"/>
          <w:szCs w:val="24"/>
        </w:rPr>
        <w:t>Беше дадена една нова препорака со тековната ревизија која</w:t>
      </w:r>
      <w:r w:rsidRPr="006B7092">
        <w:rPr>
          <w:rFonts w:cs="Arial"/>
          <w:sz w:val="24"/>
          <w:szCs w:val="24"/>
        </w:rPr>
        <w:t xml:space="preserve"> мож</w:t>
      </w:r>
      <w:r>
        <w:rPr>
          <w:rFonts w:cs="Arial"/>
          <w:sz w:val="24"/>
          <w:szCs w:val="24"/>
        </w:rPr>
        <w:t>е</w:t>
      </w:r>
      <w:r w:rsidRPr="006B7092">
        <w:rPr>
          <w:rFonts w:cs="Arial"/>
          <w:sz w:val="24"/>
          <w:szCs w:val="24"/>
        </w:rPr>
        <w:t xml:space="preserve"> да се вид</w:t>
      </w:r>
      <w:r>
        <w:rPr>
          <w:rFonts w:cs="Arial"/>
          <w:sz w:val="24"/>
          <w:szCs w:val="24"/>
        </w:rPr>
        <w:t>и</w:t>
      </w:r>
      <w:r w:rsidRPr="006B7092">
        <w:rPr>
          <w:rFonts w:cs="Arial"/>
          <w:sz w:val="24"/>
          <w:szCs w:val="24"/>
        </w:rPr>
        <w:t xml:space="preserve"> во Сумарниот извештај за наодите, препораките и статусот (табеларен прегл</w:t>
      </w:r>
      <w:r>
        <w:rPr>
          <w:rFonts w:cs="Arial"/>
          <w:sz w:val="24"/>
          <w:szCs w:val="24"/>
        </w:rPr>
        <w:t>ед), во прилог на овој Извештај, како и уште една дополнителна помала забелешка.</w:t>
      </w:r>
    </w:p>
    <w:p w:rsidR="00D713FA" w:rsidRPr="006B7092" w:rsidRDefault="00D713FA" w:rsidP="006B7092">
      <w:pPr>
        <w:pStyle w:val="Default"/>
        <w:ind w:left="720"/>
        <w:jc w:val="both"/>
        <w:rPr>
          <w:rFonts w:asciiTheme="minorHAnsi" w:hAnsiTheme="minorHAnsi" w:cs="Arial"/>
          <w:b/>
          <w:color w:val="auto"/>
        </w:rPr>
      </w:pPr>
    </w:p>
    <w:p w:rsidR="00E33E6A" w:rsidRPr="006B7092" w:rsidRDefault="00D407D9" w:rsidP="006B7092">
      <w:pPr>
        <w:pStyle w:val="ListParagraph"/>
        <w:numPr>
          <w:ilvl w:val="0"/>
          <w:numId w:val="16"/>
        </w:numPr>
        <w:spacing w:after="0"/>
        <w:jc w:val="both"/>
        <w:rPr>
          <w:rFonts w:cs="Arial"/>
          <w:b/>
          <w:sz w:val="24"/>
          <w:szCs w:val="24"/>
        </w:rPr>
      </w:pPr>
      <w:r w:rsidRPr="00D407D9">
        <w:rPr>
          <w:rFonts w:cs="Arial"/>
          <w:b/>
          <w:bCs/>
          <w:sz w:val="24"/>
          <w:szCs w:val="24"/>
        </w:rPr>
        <w:t>Извештај од извршеното тестирање на алтернативната локација во Струмица на 27.10.2015 година</w:t>
      </w:r>
      <w:r w:rsidRPr="00D407D9">
        <w:rPr>
          <w:rFonts w:cs="Arial"/>
          <w:b/>
          <w:bCs/>
          <w:sz w:val="24"/>
          <w:szCs w:val="24"/>
          <w:lang w:val="en-US"/>
        </w:rPr>
        <w:t xml:space="preserve"> </w:t>
      </w:r>
      <w:r w:rsidRPr="00D407D9">
        <w:rPr>
          <w:rFonts w:cs="Arial"/>
          <w:b/>
          <w:bCs/>
          <w:sz w:val="24"/>
          <w:szCs w:val="24"/>
        </w:rPr>
        <w:t>со користење на оддалечен пристап</w:t>
      </w:r>
      <w:r w:rsidR="00FA4626" w:rsidRPr="006B7092">
        <w:rPr>
          <w:rFonts w:cs="Arial"/>
          <w:b/>
          <w:sz w:val="24"/>
          <w:szCs w:val="24"/>
        </w:rPr>
        <w:t>.</w:t>
      </w:r>
    </w:p>
    <w:p w:rsidR="00E33E6A" w:rsidRPr="006B7092" w:rsidRDefault="00E33E6A" w:rsidP="006B7092">
      <w:pPr>
        <w:pStyle w:val="Default"/>
        <w:ind w:left="720"/>
        <w:jc w:val="both"/>
        <w:rPr>
          <w:rFonts w:asciiTheme="minorHAnsi" w:hAnsiTheme="minorHAnsi" w:cs="Arial"/>
          <w:b/>
          <w:color w:val="auto"/>
        </w:rPr>
      </w:pPr>
    </w:p>
    <w:p w:rsidR="00F9450F" w:rsidRPr="006B7092" w:rsidRDefault="00F9450F" w:rsidP="00F9450F">
      <w:pPr>
        <w:pStyle w:val="PlainText"/>
        <w:ind w:left="720"/>
        <w:jc w:val="both"/>
        <w:rPr>
          <w:rFonts w:asciiTheme="minorHAnsi" w:hAnsiTheme="minorHAnsi" w:cs="Arial"/>
          <w:sz w:val="24"/>
          <w:szCs w:val="24"/>
        </w:rPr>
      </w:pPr>
      <w:r w:rsidRPr="006B7092">
        <w:rPr>
          <w:rFonts w:asciiTheme="minorHAnsi" w:hAnsiTheme="minorHAnsi" w:cs="Arial"/>
          <w:sz w:val="24"/>
          <w:szCs w:val="24"/>
        </w:rPr>
        <w:t xml:space="preserve">Тестовите на алтернативната локација во Струмица се извршија на </w:t>
      </w:r>
      <w:r>
        <w:rPr>
          <w:rFonts w:asciiTheme="minorHAnsi" w:hAnsiTheme="minorHAnsi" w:cs="Arial"/>
          <w:sz w:val="24"/>
          <w:szCs w:val="24"/>
        </w:rPr>
        <w:t>27.10.2015</w:t>
      </w:r>
      <w:r w:rsidRPr="006B7092">
        <w:rPr>
          <w:rFonts w:asciiTheme="minorHAnsi" w:hAnsiTheme="minorHAnsi" w:cs="Arial"/>
          <w:sz w:val="24"/>
          <w:szCs w:val="24"/>
        </w:rPr>
        <w:t xml:space="preserve"> година, со користење на оддалечен пристап од експозитура Аеродром во Скопје. Беа извршени тестирања на системите за Шалтерско работење, </w:t>
      </w:r>
      <w:r w:rsidRPr="006B7092">
        <w:rPr>
          <w:rFonts w:asciiTheme="minorHAnsi" w:hAnsiTheme="minorHAnsi" w:cs="Arial"/>
          <w:sz w:val="24"/>
          <w:szCs w:val="24"/>
          <w:lang w:val="en-US"/>
        </w:rPr>
        <w:t>Back Office</w:t>
      </w:r>
      <w:r w:rsidRPr="006B7092">
        <w:rPr>
          <w:rFonts w:asciiTheme="minorHAnsi" w:hAnsiTheme="minorHAnsi" w:cs="Arial"/>
          <w:sz w:val="24"/>
          <w:szCs w:val="24"/>
        </w:rPr>
        <w:t xml:space="preserve"> и Платен промет во земјата.</w:t>
      </w:r>
    </w:p>
    <w:p w:rsidR="00F9450F" w:rsidRPr="006B7092" w:rsidRDefault="00F9450F" w:rsidP="00F9450F">
      <w:pPr>
        <w:pStyle w:val="PlainText"/>
        <w:ind w:left="720"/>
        <w:jc w:val="both"/>
        <w:rPr>
          <w:rFonts w:asciiTheme="minorHAnsi" w:hAnsiTheme="minorHAnsi" w:cs="Arial"/>
          <w:sz w:val="24"/>
          <w:szCs w:val="24"/>
        </w:rPr>
      </w:pPr>
    </w:p>
    <w:p w:rsidR="00F9450F" w:rsidRPr="006B7092" w:rsidRDefault="00F9450F" w:rsidP="00F9450F">
      <w:pPr>
        <w:pStyle w:val="PlainText"/>
        <w:ind w:left="720"/>
        <w:jc w:val="both"/>
        <w:rPr>
          <w:rFonts w:asciiTheme="minorHAnsi" w:hAnsiTheme="minorHAnsi" w:cs="Arial"/>
          <w:sz w:val="24"/>
          <w:szCs w:val="24"/>
        </w:rPr>
      </w:pPr>
      <w:r w:rsidRPr="006B7092">
        <w:rPr>
          <w:rFonts w:asciiTheme="minorHAnsi" w:hAnsiTheme="minorHAnsi" w:cs="Arial"/>
          <w:sz w:val="24"/>
          <w:szCs w:val="24"/>
        </w:rPr>
        <w:t>Резултатите од тестирањето се успешни и истото помина без никакви проблеми.</w:t>
      </w:r>
    </w:p>
    <w:p w:rsidR="00B94E52" w:rsidRDefault="00B94E52" w:rsidP="006B7092">
      <w:pPr>
        <w:pStyle w:val="ListParagraph"/>
        <w:spacing w:after="0"/>
        <w:jc w:val="both"/>
        <w:rPr>
          <w:rFonts w:cs="Arial"/>
          <w:sz w:val="24"/>
          <w:szCs w:val="24"/>
        </w:rPr>
      </w:pPr>
    </w:p>
    <w:p w:rsidR="008B089F" w:rsidRPr="008B089F" w:rsidRDefault="008B089F" w:rsidP="008B089F">
      <w:pPr>
        <w:pStyle w:val="ListParagraph"/>
        <w:numPr>
          <w:ilvl w:val="0"/>
          <w:numId w:val="16"/>
        </w:numPr>
        <w:spacing w:after="0"/>
        <w:jc w:val="both"/>
        <w:rPr>
          <w:rFonts w:cs="Arial"/>
          <w:b/>
          <w:sz w:val="24"/>
          <w:szCs w:val="24"/>
        </w:rPr>
      </w:pPr>
      <w:r w:rsidRPr="008B089F">
        <w:rPr>
          <w:rFonts w:cs="Arial"/>
          <w:b/>
          <w:sz w:val="24"/>
          <w:szCs w:val="24"/>
        </w:rPr>
        <w:t>Извештај за извршената внатрешна ревизија на дел од активностите на ОЕ Известување и сметководство до 30.09.2015 година</w:t>
      </w:r>
      <w:r>
        <w:rPr>
          <w:rFonts w:cs="Arial"/>
          <w:b/>
          <w:sz w:val="24"/>
          <w:szCs w:val="24"/>
        </w:rPr>
        <w:t>.</w:t>
      </w:r>
    </w:p>
    <w:p w:rsidR="008B089F" w:rsidRDefault="008B089F" w:rsidP="006B7092">
      <w:pPr>
        <w:pStyle w:val="ListParagraph"/>
        <w:spacing w:after="0"/>
        <w:jc w:val="both"/>
        <w:rPr>
          <w:rFonts w:cs="Arial"/>
          <w:sz w:val="24"/>
          <w:szCs w:val="24"/>
        </w:rPr>
      </w:pPr>
    </w:p>
    <w:p w:rsidR="00EA742B" w:rsidRPr="00901025" w:rsidRDefault="00EA742B" w:rsidP="00EA742B">
      <w:pPr>
        <w:pStyle w:val="ListParagraph"/>
        <w:spacing w:after="0"/>
        <w:jc w:val="both"/>
        <w:rPr>
          <w:rFonts w:cs="Arial"/>
          <w:sz w:val="24"/>
          <w:szCs w:val="24"/>
        </w:rPr>
      </w:pPr>
      <w:r>
        <w:rPr>
          <w:rFonts w:cs="Arial"/>
          <w:sz w:val="24"/>
          <w:szCs w:val="24"/>
        </w:rPr>
        <w:t>Беше извршена ревизија на Процесот Должничко доверителски односи, на Процесот Обврски по договори, на Процесот Евидентирање на основни средства, на Процесот Евидентирање на преземени средства, на Процесот Контен план, како и на финансиските извештаи кои се доставуваат секој месец до Управен одбор, Одбор за ревизија и Надзорен одбор.</w:t>
      </w:r>
    </w:p>
    <w:p w:rsidR="008B089F" w:rsidRDefault="008B089F" w:rsidP="006B7092">
      <w:pPr>
        <w:pStyle w:val="ListParagraph"/>
        <w:spacing w:after="0"/>
        <w:jc w:val="both"/>
        <w:rPr>
          <w:rFonts w:cs="Arial"/>
          <w:sz w:val="24"/>
          <w:szCs w:val="24"/>
        </w:rPr>
      </w:pPr>
    </w:p>
    <w:p w:rsidR="00AD5B3C" w:rsidRPr="006B7092" w:rsidRDefault="00AD5B3C" w:rsidP="00AD5B3C">
      <w:pPr>
        <w:pStyle w:val="ListParagraph"/>
        <w:spacing w:after="0"/>
        <w:jc w:val="both"/>
        <w:rPr>
          <w:rFonts w:cs="Arial"/>
          <w:sz w:val="24"/>
          <w:szCs w:val="24"/>
          <w:lang w:val="en-US"/>
        </w:rPr>
      </w:pPr>
      <w:r w:rsidRPr="006B7092">
        <w:rPr>
          <w:rFonts w:cs="Arial"/>
          <w:sz w:val="24"/>
          <w:szCs w:val="24"/>
        </w:rPr>
        <w:t>Дадена е една препорака од Службата за внатрешна ревизија која може да се види во Сумарниот извештај за наодите, препораките и статусот (табеларен преглед), во прилог на овој Извештај.</w:t>
      </w:r>
    </w:p>
    <w:p w:rsidR="008B089F" w:rsidRDefault="008B089F" w:rsidP="006B7092">
      <w:pPr>
        <w:pStyle w:val="ListParagraph"/>
        <w:spacing w:after="0"/>
        <w:jc w:val="both"/>
        <w:rPr>
          <w:rFonts w:cs="Arial"/>
          <w:sz w:val="24"/>
          <w:szCs w:val="24"/>
        </w:rPr>
      </w:pPr>
    </w:p>
    <w:p w:rsidR="00F022ED" w:rsidRPr="00F022ED" w:rsidRDefault="00F022ED" w:rsidP="00F022ED">
      <w:pPr>
        <w:pStyle w:val="ListParagraph"/>
        <w:numPr>
          <w:ilvl w:val="0"/>
          <w:numId w:val="16"/>
        </w:numPr>
        <w:spacing w:after="0"/>
        <w:jc w:val="both"/>
        <w:rPr>
          <w:rFonts w:cs="Arial"/>
          <w:b/>
          <w:sz w:val="24"/>
          <w:szCs w:val="24"/>
        </w:rPr>
      </w:pPr>
      <w:r w:rsidRPr="00F022ED">
        <w:rPr>
          <w:rFonts w:cs="Arial"/>
          <w:b/>
          <w:sz w:val="24"/>
          <w:szCs w:val="24"/>
        </w:rPr>
        <w:t>Извештај за извршената внатрешна ревизија на експозитура АМСМ Центар на ден 19.11.2015 година.</w:t>
      </w:r>
    </w:p>
    <w:p w:rsidR="00F022ED" w:rsidRDefault="00F022ED" w:rsidP="006B7092">
      <w:pPr>
        <w:pStyle w:val="ListParagraph"/>
        <w:spacing w:after="0"/>
        <w:jc w:val="both"/>
        <w:rPr>
          <w:rFonts w:cs="Arial"/>
          <w:sz w:val="24"/>
          <w:szCs w:val="24"/>
        </w:rPr>
      </w:pPr>
    </w:p>
    <w:p w:rsidR="004F508B" w:rsidRPr="006B7092" w:rsidRDefault="004F508B" w:rsidP="004F508B">
      <w:pPr>
        <w:pStyle w:val="ListParagraph"/>
        <w:spacing w:after="0"/>
        <w:jc w:val="both"/>
        <w:rPr>
          <w:rFonts w:cs="Arial"/>
          <w:sz w:val="24"/>
          <w:szCs w:val="24"/>
        </w:rPr>
      </w:pPr>
      <w:r w:rsidRPr="006B7092">
        <w:rPr>
          <w:rFonts w:cs="Arial"/>
          <w:sz w:val="24"/>
          <w:szCs w:val="24"/>
        </w:rPr>
        <w:t>Беше извршен попис на благајн</w:t>
      </w:r>
      <w:r>
        <w:rPr>
          <w:rFonts w:cs="Arial"/>
          <w:sz w:val="24"/>
          <w:szCs w:val="24"/>
        </w:rPr>
        <w:t>ите</w:t>
      </w:r>
      <w:r w:rsidRPr="006B7092">
        <w:rPr>
          <w:rFonts w:cs="Arial"/>
          <w:sz w:val="24"/>
          <w:szCs w:val="24"/>
        </w:rPr>
        <w:t xml:space="preserve"> во експозитурата</w:t>
      </w:r>
      <w:r>
        <w:rPr>
          <w:rFonts w:cs="Arial"/>
          <w:sz w:val="24"/>
          <w:szCs w:val="24"/>
        </w:rPr>
        <w:t>, како и ревизија на</w:t>
      </w:r>
      <w:r w:rsidRPr="006B7092">
        <w:rPr>
          <w:rFonts w:cs="Arial"/>
          <w:sz w:val="24"/>
          <w:szCs w:val="24"/>
        </w:rPr>
        <w:t xml:space="preserve"> почитување на благајнички максимум во благајната, на менувачко работење и Закон за СППФТ, на трансакциите преку </w:t>
      </w:r>
      <w:proofErr w:type="spellStart"/>
      <w:r w:rsidRPr="006B7092">
        <w:rPr>
          <w:rFonts w:cs="Arial"/>
          <w:sz w:val="24"/>
          <w:szCs w:val="24"/>
          <w:lang w:val="en-US"/>
        </w:rPr>
        <w:t>Moneygramm</w:t>
      </w:r>
      <w:proofErr w:type="spellEnd"/>
      <w:r w:rsidRPr="006B7092">
        <w:rPr>
          <w:rFonts w:cs="Arial"/>
          <w:sz w:val="24"/>
          <w:szCs w:val="24"/>
          <w:lang w:val="en-US"/>
        </w:rPr>
        <w:t xml:space="preserve">, </w:t>
      </w:r>
      <w:r w:rsidRPr="006B7092">
        <w:rPr>
          <w:rFonts w:cs="Arial"/>
          <w:sz w:val="24"/>
          <w:szCs w:val="24"/>
        </w:rPr>
        <w:t>на платен промет во делот на оперативното работење во експозитурата, на депозитно работење со физички лица во експозитурата, на трансакциски сметки, денарски и девизни со физички и правни лица во експозитурата, на картично работење со дебитни и кредитни картички во експозитурата, на кКредити на физички лица, наменски и ненаменски, како и на извештаите доставени до раководителот на Сектор за развој на бизнис и физички лица од експозитурата.</w:t>
      </w:r>
    </w:p>
    <w:p w:rsidR="004F508B" w:rsidRPr="006B7092" w:rsidRDefault="004F508B" w:rsidP="004F508B">
      <w:pPr>
        <w:pStyle w:val="Default"/>
        <w:ind w:left="720"/>
        <w:jc w:val="both"/>
        <w:rPr>
          <w:rFonts w:asciiTheme="minorHAnsi" w:hAnsiTheme="minorHAnsi" w:cs="Arial"/>
          <w:b/>
          <w:color w:val="auto"/>
        </w:rPr>
      </w:pPr>
    </w:p>
    <w:p w:rsidR="0070242A" w:rsidRPr="006B7092" w:rsidRDefault="0070242A" w:rsidP="0070242A">
      <w:pPr>
        <w:pStyle w:val="ListParagraph"/>
        <w:spacing w:after="0"/>
        <w:jc w:val="both"/>
        <w:rPr>
          <w:rFonts w:cs="Arial"/>
          <w:sz w:val="24"/>
          <w:szCs w:val="24"/>
          <w:lang w:val="en-US"/>
        </w:rPr>
      </w:pPr>
      <w:r w:rsidRPr="006B7092">
        <w:rPr>
          <w:rFonts w:cs="Arial"/>
          <w:sz w:val="24"/>
          <w:szCs w:val="24"/>
        </w:rPr>
        <w:t xml:space="preserve">Беше заклучено дека во моментот на ревизијата Банката </w:t>
      </w:r>
      <w:r>
        <w:rPr>
          <w:rFonts w:cs="Arial"/>
          <w:sz w:val="24"/>
          <w:szCs w:val="24"/>
        </w:rPr>
        <w:t xml:space="preserve">не </w:t>
      </w:r>
      <w:r w:rsidRPr="006B7092">
        <w:rPr>
          <w:rFonts w:cs="Arial"/>
          <w:sz w:val="24"/>
          <w:szCs w:val="24"/>
        </w:rPr>
        <w:t>е усогласена со препорак</w:t>
      </w:r>
      <w:r>
        <w:rPr>
          <w:rFonts w:cs="Arial"/>
          <w:sz w:val="24"/>
          <w:szCs w:val="24"/>
        </w:rPr>
        <w:t>ата</w:t>
      </w:r>
      <w:r w:rsidRPr="006B7092">
        <w:rPr>
          <w:rFonts w:cs="Arial"/>
          <w:sz w:val="24"/>
          <w:szCs w:val="24"/>
        </w:rPr>
        <w:t xml:space="preserve"> </w:t>
      </w:r>
      <w:r>
        <w:rPr>
          <w:rFonts w:cs="Arial"/>
          <w:sz w:val="24"/>
          <w:szCs w:val="24"/>
        </w:rPr>
        <w:t>дадена од претходната внатрешна ревизија, со што истата се повтори со новата ревизија и</w:t>
      </w:r>
      <w:r w:rsidRPr="006B7092">
        <w:rPr>
          <w:rFonts w:cs="Arial"/>
          <w:sz w:val="24"/>
          <w:szCs w:val="24"/>
        </w:rPr>
        <w:t xml:space="preserve"> мож</w:t>
      </w:r>
      <w:r>
        <w:rPr>
          <w:rFonts w:cs="Arial"/>
          <w:sz w:val="24"/>
          <w:szCs w:val="24"/>
        </w:rPr>
        <w:t>е</w:t>
      </w:r>
      <w:r w:rsidRPr="006B7092">
        <w:rPr>
          <w:rFonts w:cs="Arial"/>
          <w:sz w:val="24"/>
          <w:szCs w:val="24"/>
        </w:rPr>
        <w:t xml:space="preserve"> да се вид</w:t>
      </w:r>
      <w:r>
        <w:rPr>
          <w:rFonts w:cs="Arial"/>
          <w:sz w:val="24"/>
          <w:szCs w:val="24"/>
        </w:rPr>
        <w:t>и</w:t>
      </w:r>
      <w:r w:rsidRPr="006B7092">
        <w:rPr>
          <w:rFonts w:cs="Arial"/>
          <w:sz w:val="24"/>
          <w:szCs w:val="24"/>
        </w:rPr>
        <w:t xml:space="preserve"> во Сумарниот извештај за наодите, препораките и статусот (табеларен прегл</w:t>
      </w:r>
      <w:r>
        <w:rPr>
          <w:rFonts w:cs="Arial"/>
          <w:sz w:val="24"/>
          <w:szCs w:val="24"/>
        </w:rPr>
        <w:t>ед), во прилог на овој Извештај.</w:t>
      </w:r>
    </w:p>
    <w:p w:rsidR="0070242A" w:rsidRDefault="0070242A" w:rsidP="004F508B">
      <w:pPr>
        <w:pStyle w:val="ListParagraph"/>
        <w:spacing w:after="0"/>
        <w:jc w:val="both"/>
        <w:rPr>
          <w:rFonts w:cs="Arial"/>
          <w:sz w:val="24"/>
          <w:szCs w:val="24"/>
        </w:rPr>
      </w:pPr>
    </w:p>
    <w:p w:rsidR="004F508B" w:rsidRPr="006B7092" w:rsidRDefault="0070242A" w:rsidP="004F508B">
      <w:pPr>
        <w:pStyle w:val="ListParagraph"/>
        <w:spacing w:after="0"/>
        <w:jc w:val="both"/>
        <w:rPr>
          <w:rFonts w:cs="Arial"/>
          <w:sz w:val="24"/>
          <w:szCs w:val="24"/>
          <w:lang w:val="en-US"/>
        </w:rPr>
      </w:pPr>
      <w:r>
        <w:rPr>
          <w:rFonts w:cs="Arial"/>
          <w:sz w:val="24"/>
          <w:szCs w:val="24"/>
        </w:rPr>
        <w:t>Осве</w:t>
      </w:r>
      <w:r w:rsidR="001F74B5">
        <w:rPr>
          <w:rFonts w:cs="Arial"/>
          <w:sz w:val="24"/>
          <w:szCs w:val="24"/>
        </w:rPr>
        <w:t>н</w:t>
      </w:r>
      <w:r>
        <w:rPr>
          <w:rFonts w:cs="Arial"/>
          <w:sz w:val="24"/>
          <w:szCs w:val="24"/>
        </w:rPr>
        <w:t xml:space="preserve"> горенаведената </w:t>
      </w:r>
      <w:r w:rsidR="004F508B">
        <w:rPr>
          <w:rFonts w:cs="Arial"/>
          <w:sz w:val="24"/>
          <w:szCs w:val="24"/>
        </w:rPr>
        <w:t>е</w:t>
      </w:r>
      <w:r>
        <w:rPr>
          <w:rFonts w:cs="Arial"/>
          <w:sz w:val="24"/>
          <w:szCs w:val="24"/>
        </w:rPr>
        <w:t>а</w:t>
      </w:r>
      <w:r w:rsidR="004F508B">
        <w:rPr>
          <w:rFonts w:cs="Arial"/>
          <w:sz w:val="24"/>
          <w:szCs w:val="24"/>
        </w:rPr>
        <w:t xml:space="preserve"> даден</w:t>
      </w:r>
      <w:r>
        <w:rPr>
          <w:rFonts w:cs="Arial"/>
          <w:sz w:val="24"/>
          <w:szCs w:val="24"/>
        </w:rPr>
        <w:t>и</w:t>
      </w:r>
      <w:r w:rsidR="004F508B">
        <w:rPr>
          <w:rFonts w:cs="Arial"/>
          <w:sz w:val="24"/>
          <w:szCs w:val="24"/>
        </w:rPr>
        <w:t xml:space="preserve"> </w:t>
      </w:r>
      <w:r>
        <w:rPr>
          <w:rFonts w:cs="Arial"/>
          <w:sz w:val="24"/>
          <w:szCs w:val="24"/>
        </w:rPr>
        <w:t>2</w:t>
      </w:r>
      <w:r w:rsidR="004F508B">
        <w:rPr>
          <w:rFonts w:cs="Arial"/>
          <w:sz w:val="24"/>
          <w:szCs w:val="24"/>
        </w:rPr>
        <w:t xml:space="preserve"> нова препорака со тековната ревизија ко</w:t>
      </w:r>
      <w:r>
        <w:rPr>
          <w:rFonts w:cs="Arial"/>
          <w:sz w:val="24"/>
          <w:szCs w:val="24"/>
        </w:rPr>
        <w:t>и</w:t>
      </w:r>
      <w:r w:rsidR="004F508B" w:rsidRPr="006B7092">
        <w:rPr>
          <w:rFonts w:cs="Arial"/>
          <w:sz w:val="24"/>
          <w:szCs w:val="24"/>
        </w:rPr>
        <w:t xml:space="preserve"> мож</w:t>
      </w:r>
      <w:r>
        <w:rPr>
          <w:rFonts w:cs="Arial"/>
          <w:sz w:val="24"/>
          <w:szCs w:val="24"/>
        </w:rPr>
        <w:t>ат</w:t>
      </w:r>
      <w:r w:rsidR="004F508B" w:rsidRPr="006B7092">
        <w:rPr>
          <w:rFonts w:cs="Arial"/>
          <w:sz w:val="24"/>
          <w:szCs w:val="24"/>
        </w:rPr>
        <w:t xml:space="preserve"> да се вид</w:t>
      </w:r>
      <w:r>
        <w:rPr>
          <w:rFonts w:cs="Arial"/>
          <w:sz w:val="24"/>
          <w:szCs w:val="24"/>
        </w:rPr>
        <w:t>ат</w:t>
      </w:r>
      <w:r w:rsidR="004F508B" w:rsidRPr="006B7092">
        <w:rPr>
          <w:rFonts w:cs="Arial"/>
          <w:sz w:val="24"/>
          <w:szCs w:val="24"/>
        </w:rPr>
        <w:t xml:space="preserve"> во Сумарниот извештај за наодите, препораките и статусот (табеларен прегл</w:t>
      </w:r>
      <w:r w:rsidR="004F508B">
        <w:rPr>
          <w:rFonts w:cs="Arial"/>
          <w:sz w:val="24"/>
          <w:szCs w:val="24"/>
        </w:rPr>
        <w:t>ед), во прилог на овој Извештај, како и уште една дополнителна помала забелешка.</w:t>
      </w:r>
    </w:p>
    <w:p w:rsidR="00F022ED" w:rsidRDefault="00F022ED" w:rsidP="006B7092">
      <w:pPr>
        <w:pStyle w:val="ListParagraph"/>
        <w:spacing w:after="0"/>
        <w:jc w:val="both"/>
        <w:rPr>
          <w:rFonts w:cs="Arial"/>
          <w:sz w:val="24"/>
          <w:szCs w:val="24"/>
        </w:rPr>
      </w:pPr>
    </w:p>
    <w:p w:rsidR="006D57AE" w:rsidRPr="006B7092" w:rsidRDefault="00254424" w:rsidP="006D57AE">
      <w:pPr>
        <w:pStyle w:val="Default"/>
        <w:numPr>
          <w:ilvl w:val="0"/>
          <w:numId w:val="5"/>
        </w:numPr>
        <w:jc w:val="both"/>
        <w:rPr>
          <w:rFonts w:asciiTheme="minorHAnsi" w:hAnsiTheme="minorHAnsi" w:cs="Arial"/>
          <w:b/>
          <w:i/>
          <w:color w:val="auto"/>
        </w:rPr>
      </w:pPr>
      <w:r>
        <w:rPr>
          <w:rFonts w:asciiTheme="minorHAnsi" w:hAnsiTheme="minorHAnsi" w:cs="Arial"/>
          <w:b/>
          <w:i/>
          <w:color w:val="auto"/>
        </w:rPr>
        <w:t xml:space="preserve">Во тек </w:t>
      </w:r>
      <w:r w:rsidR="006D57AE">
        <w:rPr>
          <w:rFonts w:asciiTheme="minorHAnsi" w:hAnsiTheme="minorHAnsi" w:cs="Arial"/>
          <w:b/>
          <w:i/>
          <w:color w:val="auto"/>
        </w:rPr>
        <w:t>е следн</w:t>
      </w:r>
      <w:r>
        <w:rPr>
          <w:rFonts w:asciiTheme="minorHAnsi" w:hAnsiTheme="minorHAnsi" w:cs="Arial"/>
          <w:b/>
          <w:i/>
          <w:color w:val="auto"/>
        </w:rPr>
        <w:t>ата</w:t>
      </w:r>
      <w:r w:rsidR="006D57AE" w:rsidRPr="006B7092">
        <w:rPr>
          <w:rFonts w:asciiTheme="minorHAnsi" w:hAnsiTheme="minorHAnsi" w:cs="Arial"/>
          <w:b/>
          <w:i/>
          <w:color w:val="auto"/>
        </w:rPr>
        <w:t xml:space="preserve"> ревизи</w:t>
      </w:r>
      <w:r>
        <w:rPr>
          <w:rFonts w:asciiTheme="minorHAnsi" w:hAnsiTheme="minorHAnsi" w:cs="Arial"/>
          <w:b/>
          <w:i/>
          <w:color w:val="auto"/>
        </w:rPr>
        <w:t>ја</w:t>
      </w:r>
      <w:r w:rsidR="006D57AE" w:rsidRPr="006B7092">
        <w:rPr>
          <w:rFonts w:asciiTheme="minorHAnsi" w:hAnsiTheme="minorHAnsi" w:cs="Arial"/>
          <w:b/>
          <w:i/>
          <w:color w:val="auto"/>
        </w:rPr>
        <w:t>:</w:t>
      </w:r>
    </w:p>
    <w:p w:rsidR="006D57AE" w:rsidRDefault="006D57AE" w:rsidP="006B7092">
      <w:pPr>
        <w:pStyle w:val="ListParagraph"/>
        <w:spacing w:after="0"/>
        <w:jc w:val="both"/>
        <w:rPr>
          <w:rFonts w:cs="Arial"/>
          <w:sz w:val="24"/>
          <w:szCs w:val="24"/>
        </w:rPr>
      </w:pPr>
    </w:p>
    <w:p w:rsidR="00254424" w:rsidRPr="00254424" w:rsidRDefault="00B94E52" w:rsidP="00254424">
      <w:pPr>
        <w:pStyle w:val="ListParagraph"/>
        <w:numPr>
          <w:ilvl w:val="0"/>
          <w:numId w:val="16"/>
        </w:numPr>
        <w:spacing w:after="0"/>
        <w:jc w:val="both"/>
        <w:rPr>
          <w:rFonts w:cs="Arial"/>
          <w:b/>
        </w:rPr>
      </w:pPr>
      <w:r>
        <w:rPr>
          <w:rFonts w:cs="Arial"/>
          <w:b/>
          <w:sz w:val="24"/>
          <w:szCs w:val="24"/>
        </w:rPr>
        <w:t>В</w:t>
      </w:r>
      <w:r w:rsidRPr="006B7092">
        <w:rPr>
          <w:rFonts w:cs="Arial"/>
          <w:b/>
          <w:sz w:val="24"/>
          <w:szCs w:val="24"/>
        </w:rPr>
        <w:t xml:space="preserve">натрешна ревизија </w:t>
      </w:r>
      <w:r w:rsidRPr="00254424">
        <w:rPr>
          <w:rFonts w:cs="Arial"/>
          <w:b/>
          <w:sz w:val="24"/>
          <w:szCs w:val="24"/>
        </w:rPr>
        <w:t>н</w:t>
      </w:r>
      <w:r w:rsidR="00254424" w:rsidRPr="00254424">
        <w:rPr>
          <w:rFonts w:cs="Arial"/>
          <w:b/>
          <w:sz w:val="24"/>
          <w:szCs w:val="24"/>
        </w:rPr>
        <w:t>а активностите на Банката во однос на управувањето со ризикот од промена на каматните стапки во портфолиото на банкарските активности, во периодот од претходната ревизија 31.12.2013</w:t>
      </w:r>
      <w:r w:rsidR="00254424">
        <w:rPr>
          <w:rFonts w:cs="Arial"/>
          <w:b/>
          <w:sz w:val="24"/>
          <w:szCs w:val="24"/>
        </w:rPr>
        <w:t xml:space="preserve"> </w:t>
      </w:r>
      <w:r w:rsidR="00254424" w:rsidRPr="00254424">
        <w:rPr>
          <w:rFonts w:cs="Arial"/>
          <w:b/>
          <w:sz w:val="24"/>
          <w:szCs w:val="24"/>
        </w:rPr>
        <w:t>година до 3</w:t>
      </w:r>
      <w:r w:rsidR="00254424">
        <w:rPr>
          <w:rFonts w:cs="Arial"/>
          <w:b/>
          <w:sz w:val="24"/>
          <w:szCs w:val="24"/>
        </w:rPr>
        <w:t>0</w:t>
      </w:r>
      <w:r w:rsidR="00254424" w:rsidRPr="00254424">
        <w:rPr>
          <w:rFonts w:cs="Arial"/>
          <w:b/>
          <w:sz w:val="24"/>
          <w:szCs w:val="24"/>
        </w:rPr>
        <w:t>.1</w:t>
      </w:r>
      <w:r w:rsidR="00254424">
        <w:rPr>
          <w:rFonts w:cs="Arial"/>
          <w:b/>
          <w:sz w:val="24"/>
          <w:szCs w:val="24"/>
        </w:rPr>
        <w:t>1</w:t>
      </w:r>
      <w:r w:rsidR="00254424" w:rsidRPr="00254424">
        <w:rPr>
          <w:rFonts w:cs="Arial"/>
          <w:b/>
          <w:sz w:val="24"/>
          <w:szCs w:val="24"/>
        </w:rPr>
        <w:t>.201</w:t>
      </w:r>
      <w:r w:rsidR="00254424">
        <w:rPr>
          <w:rFonts w:cs="Arial"/>
          <w:b/>
          <w:sz w:val="24"/>
          <w:szCs w:val="24"/>
        </w:rPr>
        <w:t>5</w:t>
      </w:r>
      <w:r w:rsidR="00254424" w:rsidRPr="00254424">
        <w:rPr>
          <w:rFonts w:cs="Arial"/>
          <w:b/>
          <w:sz w:val="24"/>
          <w:szCs w:val="24"/>
        </w:rPr>
        <w:t xml:space="preserve"> година.</w:t>
      </w:r>
    </w:p>
    <w:p w:rsidR="00B80F7E" w:rsidRPr="006B7092" w:rsidRDefault="00254424" w:rsidP="00254424">
      <w:pPr>
        <w:pStyle w:val="ListParagraph"/>
        <w:spacing w:after="0"/>
        <w:jc w:val="both"/>
        <w:rPr>
          <w:rFonts w:cs="Arial"/>
          <w:b/>
        </w:rPr>
      </w:pPr>
      <w:r w:rsidRPr="006B7092">
        <w:rPr>
          <w:rFonts w:cs="Arial"/>
          <w:b/>
        </w:rPr>
        <w:t xml:space="preserve"> </w:t>
      </w:r>
    </w:p>
    <w:p w:rsidR="00963B9B" w:rsidRPr="006B7092" w:rsidRDefault="00963B9B" w:rsidP="006B7092">
      <w:pPr>
        <w:pStyle w:val="Default"/>
        <w:numPr>
          <w:ilvl w:val="0"/>
          <w:numId w:val="5"/>
        </w:numPr>
        <w:jc w:val="both"/>
        <w:rPr>
          <w:rFonts w:asciiTheme="minorHAnsi" w:hAnsiTheme="minorHAnsi" w:cs="Arial"/>
          <w:b/>
          <w:i/>
          <w:color w:val="auto"/>
        </w:rPr>
      </w:pPr>
      <w:r w:rsidRPr="006B7092">
        <w:rPr>
          <w:rFonts w:asciiTheme="minorHAnsi" w:hAnsiTheme="minorHAnsi" w:cs="Arial"/>
          <w:b/>
          <w:i/>
          <w:color w:val="auto"/>
        </w:rPr>
        <w:t>Вонредни ревизии:</w:t>
      </w:r>
    </w:p>
    <w:p w:rsidR="00963B9B" w:rsidRPr="006B7092" w:rsidRDefault="00963B9B" w:rsidP="006B7092">
      <w:pPr>
        <w:pStyle w:val="Default"/>
        <w:ind w:left="720"/>
        <w:jc w:val="both"/>
        <w:rPr>
          <w:rFonts w:asciiTheme="minorHAnsi" w:hAnsiTheme="minorHAnsi" w:cs="Arial"/>
          <w:color w:val="auto"/>
        </w:rPr>
      </w:pPr>
    </w:p>
    <w:p w:rsidR="00424EDE" w:rsidRPr="00C9475F" w:rsidRDefault="00424EDE" w:rsidP="00424EDE">
      <w:pPr>
        <w:pStyle w:val="ListParagraph"/>
        <w:numPr>
          <w:ilvl w:val="0"/>
          <w:numId w:val="24"/>
        </w:numPr>
        <w:spacing w:after="0"/>
        <w:jc w:val="both"/>
        <w:rPr>
          <w:rFonts w:cs="Arial"/>
          <w:b/>
          <w:sz w:val="24"/>
          <w:szCs w:val="24"/>
        </w:rPr>
      </w:pPr>
      <w:r w:rsidRPr="00C9475F">
        <w:rPr>
          <w:rFonts w:cs="Arial"/>
          <w:b/>
          <w:sz w:val="24"/>
          <w:szCs w:val="24"/>
        </w:rPr>
        <w:t>Извештај за извршената внатрешна ревизија на степенот на усогласеност по сите точки од Писмено предупредување од НБМ број 597 од 01.10.2014 година.</w:t>
      </w:r>
    </w:p>
    <w:p w:rsidR="00424EDE" w:rsidRPr="00C9475F" w:rsidRDefault="00424EDE" w:rsidP="00424EDE">
      <w:pPr>
        <w:pStyle w:val="ListParagraph"/>
        <w:spacing w:after="0"/>
        <w:jc w:val="both"/>
        <w:rPr>
          <w:rFonts w:cs="Arial"/>
          <w:b/>
          <w:sz w:val="24"/>
          <w:szCs w:val="24"/>
        </w:rPr>
      </w:pPr>
    </w:p>
    <w:p w:rsidR="00424EDE" w:rsidRPr="00C9475F" w:rsidRDefault="00424EDE" w:rsidP="00424EDE">
      <w:pPr>
        <w:spacing w:after="0"/>
        <w:ind w:left="720"/>
        <w:jc w:val="both"/>
        <w:rPr>
          <w:rFonts w:cs="Arial"/>
          <w:sz w:val="24"/>
          <w:szCs w:val="24"/>
        </w:rPr>
      </w:pPr>
      <w:r w:rsidRPr="00C9475F">
        <w:rPr>
          <w:rFonts w:cs="Arial"/>
          <w:sz w:val="24"/>
          <w:szCs w:val="24"/>
        </w:rPr>
        <w:lastRenderedPageBreak/>
        <w:t>Службата за внатрешна ревизија, изврши оцена на степенот на усогласеност на Банката по сите точки од горе наведеното писмено предупредување.</w:t>
      </w:r>
    </w:p>
    <w:p w:rsidR="00424EDE" w:rsidRPr="00C9475F" w:rsidRDefault="00424EDE" w:rsidP="00424EDE">
      <w:pPr>
        <w:spacing w:after="0"/>
        <w:ind w:left="720"/>
        <w:jc w:val="both"/>
        <w:rPr>
          <w:rFonts w:cs="Arial"/>
          <w:sz w:val="24"/>
          <w:szCs w:val="24"/>
        </w:rPr>
      </w:pPr>
    </w:p>
    <w:p w:rsidR="00424EDE" w:rsidRPr="00C9475F" w:rsidRDefault="00424EDE" w:rsidP="00424EDE">
      <w:pPr>
        <w:spacing w:after="0"/>
        <w:ind w:left="720"/>
        <w:jc w:val="both"/>
        <w:rPr>
          <w:rFonts w:eastAsia="Calibri" w:cs="Arial"/>
          <w:sz w:val="24"/>
          <w:szCs w:val="24"/>
        </w:rPr>
      </w:pPr>
      <w:r w:rsidRPr="00C9475F">
        <w:rPr>
          <w:rFonts w:cs="Arial"/>
          <w:sz w:val="24"/>
          <w:szCs w:val="24"/>
        </w:rPr>
        <w:t xml:space="preserve">Беше утврдено дека </w:t>
      </w:r>
      <w:r w:rsidRPr="00C9475F">
        <w:rPr>
          <w:rFonts w:eastAsia="Calibri" w:cs="Arial"/>
          <w:sz w:val="24"/>
          <w:szCs w:val="24"/>
        </w:rPr>
        <w:t>Банката во најголем дел е усогласена со Писменото предупредување од НБМ бр. 597 од 01.10.2014 година, освен за пет потточки од истото, за кои е утврдена делумна усогласеност.</w:t>
      </w:r>
    </w:p>
    <w:p w:rsidR="00424EDE" w:rsidRPr="00C9475F" w:rsidRDefault="00424EDE" w:rsidP="00424EDE">
      <w:pPr>
        <w:pStyle w:val="ListParagraph"/>
        <w:spacing w:after="0"/>
        <w:jc w:val="both"/>
        <w:rPr>
          <w:rFonts w:cs="Arial"/>
          <w:b/>
          <w:sz w:val="24"/>
          <w:szCs w:val="24"/>
        </w:rPr>
      </w:pPr>
    </w:p>
    <w:p w:rsidR="00424EDE" w:rsidRPr="00C9475F" w:rsidRDefault="00424EDE" w:rsidP="00424EDE">
      <w:pPr>
        <w:pStyle w:val="ListParagraph"/>
        <w:numPr>
          <w:ilvl w:val="0"/>
          <w:numId w:val="24"/>
        </w:numPr>
        <w:spacing w:after="0"/>
        <w:jc w:val="both"/>
        <w:rPr>
          <w:rFonts w:cs="Arial"/>
          <w:b/>
          <w:sz w:val="24"/>
          <w:szCs w:val="24"/>
        </w:rPr>
      </w:pPr>
      <w:r w:rsidRPr="00C9475F">
        <w:rPr>
          <w:rFonts w:cs="Arial"/>
          <w:b/>
          <w:sz w:val="24"/>
          <w:szCs w:val="24"/>
        </w:rPr>
        <w:t>Меморандум од извршената внатрешна ревизија на резервациите на побарувањата на Банката, вклучително рачните корекции, до 30.04.2015 година.</w:t>
      </w:r>
    </w:p>
    <w:p w:rsidR="00424EDE" w:rsidRPr="00C9475F" w:rsidRDefault="00424EDE" w:rsidP="00424EDE">
      <w:pPr>
        <w:pStyle w:val="ListParagraph"/>
        <w:spacing w:after="0"/>
        <w:jc w:val="both"/>
        <w:rPr>
          <w:rFonts w:cs="Arial"/>
          <w:b/>
          <w:sz w:val="24"/>
          <w:szCs w:val="24"/>
        </w:rPr>
      </w:pPr>
    </w:p>
    <w:p w:rsidR="00424EDE" w:rsidRPr="00C9475F" w:rsidRDefault="00424EDE" w:rsidP="00424EDE">
      <w:pPr>
        <w:pStyle w:val="ListParagraph"/>
        <w:spacing w:after="0"/>
        <w:jc w:val="both"/>
        <w:rPr>
          <w:rFonts w:cs="Arial"/>
          <w:sz w:val="24"/>
          <w:szCs w:val="24"/>
        </w:rPr>
      </w:pPr>
      <w:r w:rsidRPr="00C9475F">
        <w:rPr>
          <w:rFonts w:cs="Arial"/>
          <w:sz w:val="24"/>
          <w:szCs w:val="24"/>
        </w:rPr>
        <w:t>Беше извршена проверка на резервациите на побарувањата на Банката со датум 30.04.2015 година.</w:t>
      </w:r>
    </w:p>
    <w:p w:rsidR="00424EDE" w:rsidRPr="00C9475F" w:rsidRDefault="00424EDE" w:rsidP="00424EDE">
      <w:pPr>
        <w:pStyle w:val="Default"/>
        <w:ind w:left="720"/>
        <w:jc w:val="both"/>
        <w:rPr>
          <w:rFonts w:asciiTheme="minorHAnsi" w:hAnsiTheme="minorHAnsi" w:cs="Arial"/>
          <w:b/>
          <w:color w:val="auto"/>
        </w:rPr>
      </w:pPr>
    </w:p>
    <w:p w:rsidR="00424EDE" w:rsidRPr="00C9475F" w:rsidRDefault="00424EDE" w:rsidP="00424EDE">
      <w:pPr>
        <w:pStyle w:val="ListParagraph"/>
        <w:numPr>
          <w:ilvl w:val="0"/>
          <w:numId w:val="24"/>
        </w:numPr>
        <w:spacing w:after="0"/>
        <w:jc w:val="both"/>
        <w:rPr>
          <w:rFonts w:eastAsia="Calibri" w:cs="Arial"/>
          <w:b/>
          <w:sz w:val="24"/>
          <w:szCs w:val="24"/>
        </w:rPr>
      </w:pPr>
      <w:r w:rsidRPr="00C9475F">
        <w:rPr>
          <w:rFonts w:cs="Arial"/>
          <w:b/>
          <w:sz w:val="24"/>
          <w:szCs w:val="24"/>
        </w:rPr>
        <w:t>Извештај за извршената внатрешна ревизија на исклучоците од важечките Тарифници на Банката од 01.03.2015 година до денот на ревизијата.</w:t>
      </w:r>
    </w:p>
    <w:p w:rsidR="00424EDE" w:rsidRPr="00C9475F" w:rsidRDefault="00424EDE" w:rsidP="00424EDE">
      <w:pPr>
        <w:pStyle w:val="ListParagraph"/>
        <w:spacing w:after="0"/>
        <w:jc w:val="both"/>
        <w:rPr>
          <w:rFonts w:cs="Arial"/>
          <w:sz w:val="24"/>
          <w:szCs w:val="24"/>
        </w:rPr>
      </w:pPr>
    </w:p>
    <w:p w:rsidR="00424EDE" w:rsidRPr="00C9475F" w:rsidRDefault="00424EDE" w:rsidP="00424EDE">
      <w:pPr>
        <w:pStyle w:val="ListParagraph"/>
        <w:spacing w:after="0"/>
        <w:jc w:val="both"/>
        <w:rPr>
          <w:rFonts w:cs="Arial"/>
          <w:sz w:val="24"/>
          <w:szCs w:val="24"/>
        </w:rPr>
      </w:pPr>
      <w:r w:rsidRPr="00C9475F">
        <w:rPr>
          <w:rFonts w:cs="Arial"/>
          <w:sz w:val="24"/>
          <w:szCs w:val="24"/>
        </w:rPr>
        <w:t xml:space="preserve">Беше извршена ревизија на </w:t>
      </w:r>
      <w:r w:rsidRPr="00C9475F">
        <w:rPr>
          <w:rFonts w:eastAsia="Calibri" w:cs="Arial"/>
          <w:sz w:val="24"/>
          <w:szCs w:val="24"/>
        </w:rPr>
        <w:t>Почитување на о</w:t>
      </w:r>
      <w:r w:rsidRPr="00C9475F">
        <w:rPr>
          <w:rFonts w:cs="Arial"/>
          <w:sz w:val="24"/>
          <w:szCs w:val="24"/>
        </w:rPr>
        <w:t xml:space="preserve">дредбите од </w:t>
      </w:r>
      <w:r w:rsidRPr="00C9475F">
        <w:rPr>
          <w:rFonts w:eastAsia="Calibri" w:cs="Arial"/>
          <w:sz w:val="24"/>
          <w:szCs w:val="24"/>
        </w:rPr>
        <w:t>Правилникот за Политиката на утврдување на надоместоци за услуги и висината на тарифните ставки во Капитал банка АД Скопје – пречистен текст со важност од 01.08.2014 година,</w:t>
      </w:r>
      <w:r w:rsidRPr="00C9475F">
        <w:rPr>
          <w:rFonts w:cs="Arial"/>
          <w:sz w:val="24"/>
          <w:szCs w:val="24"/>
        </w:rPr>
        <w:t xml:space="preserve"> </w:t>
      </w:r>
      <w:r w:rsidRPr="00C9475F">
        <w:rPr>
          <w:rFonts w:eastAsia="Calibri" w:cs="Arial"/>
          <w:sz w:val="24"/>
          <w:szCs w:val="24"/>
        </w:rPr>
        <w:t>Правилникот за Политиката на утврдување на каматните стапки и висината на каматни стапки во Капитал банка АД Скопје – пречистен текст бр. 17 со важност од 01.03.2015 година,</w:t>
      </w:r>
      <w:r w:rsidRPr="00C9475F">
        <w:rPr>
          <w:rFonts w:cs="Arial"/>
          <w:sz w:val="24"/>
          <w:szCs w:val="24"/>
        </w:rPr>
        <w:t xml:space="preserve"> </w:t>
      </w:r>
      <w:r w:rsidRPr="00C9475F">
        <w:rPr>
          <w:rFonts w:eastAsia="Calibri" w:cs="Arial"/>
          <w:sz w:val="24"/>
          <w:szCs w:val="24"/>
        </w:rPr>
        <w:t>Правилникот за Политиката на утврдување на каматните стапки и висината на каматни стапки во Капитал банка АД Скопје – пречистен текст бр. 18 со важност од 01.04.2015 година,</w:t>
      </w:r>
      <w:r w:rsidRPr="00C9475F">
        <w:rPr>
          <w:rFonts w:cs="Arial"/>
          <w:sz w:val="24"/>
          <w:szCs w:val="24"/>
        </w:rPr>
        <w:t xml:space="preserve"> </w:t>
      </w:r>
      <w:r w:rsidRPr="00C9475F">
        <w:rPr>
          <w:rFonts w:eastAsia="Calibri" w:cs="Arial"/>
          <w:sz w:val="24"/>
          <w:szCs w:val="24"/>
        </w:rPr>
        <w:t>Одлука</w:t>
      </w:r>
      <w:r w:rsidRPr="00C9475F">
        <w:rPr>
          <w:rFonts w:cs="Arial"/>
          <w:sz w:val="24"/>
          <w:szCs w:val="24"/>
        </w:rPr>
        <w:t>та</w:t>
      </w:r>
      <w:r w:rsidRPr="00C9475F">
        <w:rPr>
          <w:rFonts w:eastAsia="Calibri" w:cs="Arial"/>
          <w:sz w:val="24"/>
          <w:szCs w:val="24"/>
        </w:rPr>
        <w:t xml:space="preserve"> од НО од 05.01.2011 година за овластувања за утврдување на повисоки/пониски каматни стапки во Правилникот за Политиката на утврдување на каматните стапки и висината на каматни стапки во Капитал банка АД Скопје,</w:t>
      </w:r>
      <w:r w:rsidRPr="00C9475F">
        <w:rPr>
          <w:rFonts w:cs="Arial"/>
          <w:sz w:val="24"/>
          <w:szCs w:val="24"/>
        </w:rPr>
        <w:t xml:space="preserve"> </w:t>
      </w:r>
      <w:r w:rsidRPr="00C9475F">
        <w:rPr>
          <w:rFonts w:eastAsia="Calibri" w:cs="Arial"/>
          <w:sz w:val="24"/>
          <w:szCs w:val="24"/>
        </w:rPr>
        <w:t>Одлука</w:t>
      </w:r>
      <w:r w:rsidRPr="00C9475F">
        <w:rPr>
          <w:rFonts w:cs="Arial"/>
          <w:sz w:val="24"/>
          <w:szCs w:val="24"/>
        </w:rPr>
        <w:t>та</w:t>
      </w:r>
      <w:r w:rsidRPr="00C9475F">
        <w:rPr>
          <w:rFonts w:eastAsia="Calibri" w:cs="Arial"/>
          <w:sz w:val="24"/>
          <w:szCs w:val="24"/>
        </w:rPr>
        <w:t xml:space="preserve"> од НО од 05.01.2011 година за овластувања за утврдување на повисоки/пониски каматни стапки во Правилникот за Политиката на утврдување на надоместоци за услуги и висината на тарифните ставки во Капитал банка АД Скопје.</w:t>
      </w:r>
    </w:p>
    <w:p w:rsidR="00424EDE" w:rsidRPr="00C9475F" w:rsidRDefault="00424EDE" w:rsidP="00424EDE">
      <w:pPr>
        <w:pStyle w:val="ListParagraph"/>
        <w:spacing w:after="0"/>
        <w:ind w:left="0"/>
        <w:jc w:val="both"/>
        <w:rPr>
          <w:rFonts w:cs="Arial"/>
          <w:sz w:val="24"/>
          <w:szCs w:val="24"/>
        </w:rPr>
      </w:pPr>
    </w:p>
    <w:p w:rsidR="00424EDE" w:rsidRPr="00C9475F" w:rsidRDefault="00424EDE" w:rsidP="00424EDE">
      <w:pPr>
        <w:pStyle w:val="Default"/>
        <w:ind w:left="720"/>
        <w:jc w:val="both"/>
        <w:rPr>
          <w:rFonts w:asciiTheme="minorHAnsi" w:hAnsiTheme="minorHAnsi" w:cs="Arial"/>
          <w:color w:val="auto"/>
        </w:rPr>
      </w:pPr>
      <w:r w:rsidRPr="00C9475F">
        <w:rPr>
          <w:rFonts w:asciiTheme="minorHAnsi" w:hAnsiTheme="minorHAnsi" w:cs="Arial"/>
          <w:color w:val="auto"/>
        </w:rPr>
        <w:t>Со извршаната ревизија не беа најдени материјално значајни неусогласености, туку само три помали забелешки.</w:t>
      </w:r>
    </w:p>
    <w:p w:rsidR="00753078" w:rsidRPr="006B7092" w:rsidRDefault="00753078" w:rsidP="006B7092">
      <w:pPr>
        <w:spacing w:after="0"/>
        <w:ind w:firstLine="720"/>
        <w:rPr>
          <w:rFonts w:cs="Arial"/>
          <w:b/>
          <w:i/>
          <w:sz w:val="24"/>
          <w:szCs w:val="24"/>
        </w:rPr>
      </w:pPr>
    </w:p>
    <w:p w:rsidR="00553E7A" w:rsidRPr="006B7092" w:rsidRDefault="002A546D" w:rsidP="002A546D">
      <w:pPr>
        <w:pStyle w:val="ListParagraph"/>
        <w:numPr>
          <w:ilvl w:val="0"/>
          <w:numId w:val="12"/>
        </w:numPr>
        <w:autoSpaceDE w:val="0"/>
        <w:autoSpaceDN w:val="0"/>
        <w:adjustRightInd w:val="0"/>
        <w:spacing w:after="0" w:line="240" w:lineRule="auto"/>
        <w:jc w:val="both"/>
        <w:rPr>
          <w:rFonts w:cs="Arial"/>
          <w:b/>
          <w:i/>
          <w:sz w:val="24"/>
          <w:szCs w:val="24"/>
        </w:rPr>
      </w:pPr>
      <w:r>
        <w:rPr>
          <w:rFonts w:cs="Arial"/>
          <w:b/>
          <w:i/>
          <w:sz w:val="24"/>
          <w:szCs w:val="24"/>
        </w:rPr>
        <w:t>Оц</w:t>
      </w:r>
      <w:r w:rsidR="00553E7A" w:rsidRPr="006B7092">
        <w:rPr>
          <w:rFonts w:cs="Arial"/>
          <w:b/>
          <w:i/>
          <w:sz w:val="24"/>
          <w:szCs w:val="24"/>
        </w:rPr>
        <w:t>енка на адекватноста и ефикасноста на системите за внатрешна контрола</w:t>
      </w:r>
    </w:p>
    <w:p w:rsidR="00553E7A" w:rsidRPr="006B7092" w:rsidRDefault="00553E7A" w:rsidP="006B7092">
      <w:pPr>
        <w:autoSpaceDE w:val="0"/>
        <w:autoSpaceDN w:val="0"/>
        <w:adjustRightInd w:val="0"/>
        <w:spacing w:after="0" w:line="240" w:lineRule="auto"/>
        <w:jc w:val="both"/>
        <w:rPr>
          <w:rFonts w:cs="Arial"/>
          <w:b/>
          <w:sz w:val="24"/>
          <w:szCs w:val="24"/>
        </w:rPr>
      </w:pPr>
    </w:p>
    <w:p w:rsidR="00553E7A" w:rsidRPr="006B7092" w:rsidRDefault="00553E7A" w:rsidP="006B7092">
      <w:pPr>
        <w:autoSpaceDE w:val="0"/>
        <w:autoSpaceDN w:val="0"/>
        <w:adjustRightInd w:val="0"/>
        <w:spacing w:after="0" w:line="240" w:lineRule="auto"/>
        <w:jc w:val="both"/>
        <w:rPr>
          <w:rFonts w:cs="Arial"/>
          <w:sz w:val="24"/>
          <w:szCs w:val="24"/>
        </w:rPr>
      </w:pPr>
      <w:r w:rsidRPr="006B7092">
        <w:rPr>
          <w:rFonts w:cs="Arial"/>
          <w:sz w:val="24"/>
          <w:szCs w:val="24"/>
        </w:rPr>
        <w:t>Внатрешната контрола претставува континуиран процес кој се спроведува на сите нивоа во Банката од страна на органите на управување, менаџментот и сите вработени, дизајниран да обезбеди разумна сигурност за постигнување на следните цели</w:t>
      </w:r>
      <w:r w:rsidRPr="006B7092">
        <w:rPr>
          <w:rFonts w:cs="Arial"/>
          <w:sz w:val="24"/>
          <w:szCs w:val="24"/>
          <w:lang w:val="en-US"/>
        </w:rPr>
        <w:t>:</w:t>
      </w:r>
      <w:r w:rsidRPr="006B7092">
        <w:rPr>
          <w:rFonts w:cs="Arial"/>
          <w:sz w:val="24"/>
          <w:szCs w:val="24"/>
        </w:rPr>
        <w:t xml:space="preserve"> заштита на вредноста на средствата, максимизирање на вредноста на Банката, </w:t>
      </w:r>
      <w:r w:rsidRPr="006B7092">
        <w:rPr>
          <w:rFonts w:cs="Arial"/>
          <w:sz w:val="24"/>
          <w:szCs w:val="24"/>
        </w:rPr>
        <w:lastRenderedPageBreak/>
        <w:t>изработка на точни финансиски извештаи, зголемување на ефикасноста на целокупното работење, унапредување на ефикасноста на управувањето,</w:t>
      </w:r>
      <w:r w:rsidRPr="006B7092">
        <w:rPr>
          <w:rFonts w:cs="Arial"/>
          <w:sz w:val="24"/>
          <w:szCs w:val="24"/>
          <w:lang w:val="en-US"/>
        </w:rPr>
        <w:t xml:space="preserve"> </w:t>
      </w:r>
      <w:r w:rsidRPr="006B7092">
        <w:rPr>
          <w:rFonts w:cs="Arial"/>
          <w:sz w:val="24"/>
          <w:szCs w:val="24"/>
        </w:rPr>
        <w:t>усогласеност со интерните политики на Банката и законите и регулативата која се однесува за банките.</w:t>
      </w:r>
    </w:p>
    <w:p w:rsidR="008F4F13" w:rsidRPr="006B7092" w:rsidRDefault="008F4F13" w:rsidP="006B7092">
      <w:pPr>
        <w:autoSpaceDE w:val="0"/>
        <w:autoSpaceDN w:val="0"/>
        <w:adjustRightInd w:val="0"/>
        <w:spacing w:after="0" w:line="240" w:lineRule="auto"/>
        <w:jc w:val="both"/>
        <w:rPr>
          <w:rFonts w:cs="Arial"/>
          <w:sz w:val="24"/>
          <w:szCs w:val="24"/>
        </w:rPr>
      </w:pPr>
    </w:p>
    <w:p w:rsidR="00553E7A" w:rsidRPr="006B7092" w:rsidRDefault="00553E7A" w:rsidP="006B7092">
      <w:pPr>
        <w:autoSpaceDE w:val="0"/>
        <w:autoSpaceDN w:val="0"/>
        <w:adjustRightInd w:val="0"/>
        <w:spacing w:after="0" w:line="240" w:lineRule="auto"/>
        <w:jc w:val="both"/>
        <w:rPr>
          <w:rFonts w:cs="Arial"/>
          <w:sz w:val="24"/>
          <w:szCs w:val="24"/>
        </w:rPr>
      </w:pPr>
      <w:r w:rsidRPr="006B7092">
        <w:rPr>
          <w:rFonts w:cs="Arial"/>
          <w:sz w:val="24"/>
          <w:szCs w:val="24"/>
        </w:rPr>
        <w:t>Системот на внатрешна контрола постојано се менува и прилагодува во зависност од промените во законската регулатива и актите на Банката, измените во технологијата на одредените процеси или системи и затоа претставува значајна компонента при управувањето и поставувањето на сигурна и стабилна основа за функционирањето на Банката.</w:t>
      </w:r>
    </w:p>
    <w:p w:rsidR="00281BB8" w:rsidRPr="006B7092" w:rsidRDefault="00281BB8" w:rsidP="006B7092">
      <w:pPr>
        <w:autoSpaceDE w:val="0"/>
        <w:autoSpaceDN w:val="0"/>
        <w:adjustRightInd w:val="0"/>
        <w:spacing w:after="0" w:line="240" w:lineRule="auto"/>
        <w:jc w:val="both"/>
        <w:rPr>
          <w:rFonts w:cs="Arial"/>
          <w:sz w:val="24"/>
          <w:szCs w:val="24"/>
        </w:rPr>
      </w:pPr>
    </w:p>
    <w:p w:rsidR="00553E7A" w:rsidRPr="006B7092" w:rsidRDefault="006B084C" w:rsidP="006B7092">
      <w:pPr>
        <w:autoSpaceDE w:val="0"/>
        <w:autoSpaceDN w:val="0"/>
        <w:adjustRightInd w:val="0"/>
        <w:spacing w:after="0" w:line="240" w:lineRule="auto"/>
        <w:jc w:val="both"/>
        <w:rPr>
          <w:rFonts w:cs="Arial"/>
          <w:sz w:val="24"/>
          <w:szCs w:val="24"/>
        </w:rPr>
      </w:pPr>
      <w:r w:rsidRPr="006B7092">
        <w:rPr>
          <w:rFonts w:cs="Arial"/>
          <w:sz w:val="24"/>
          <w:szCs w:val="24"/>
        </w:rPr>
        <w:t>Службата за в</w:t>
      </w:r>
      <w:r w:rsidR="00553E7A" w:rsidRPr="006B7092">
        <w:rPr>
          <w:rFonts w:cs="Arial"/>
          <w:sz w:val="24"/>
          <w:szCs w:val="24"/>
        </w:rPr>
        <w:t xml:space="preserve">натрешната ревизија при евалуација на адекватноста и ефикасноста на системот на </w:t>
      </w:r>
      <w:r w:rsidR="00D50E37" w:rsidRPr="006B7092">
        <w:rPr>
          <w:rFonts w:cs="Arial"/>
          <w:sz w:val="24"/>
          <w:szCs w:val="24"/>
        </w:rPr>
        <w:t>интерна</w:t>
      </w:r>
      <w:r w:rsidR="00F70AE4" w:rsidRPr="006B7092">
        <w:rPr>
          <w:rFonts w:cs="Arial"/>
          <w:sz w:val="24"/>
          <w:szCs w:val="24"/>
        </w:rPr>
        <w:t xml:space="preserve"> </w:t>
      </w:r>
      <w:r w:rsidR="00553E7A" w:rsidRPr="006B7092">
        <w:rPr>
          <w:rFonts w:cs="Arial"/>
          <w:sz w:val="24"/>
          <w:szCs w:val="24"/>
        </w:rPr>
        <w:t>контрола во ревидираните процеси и активности во т</w:t>
      </w:r>
      <w:r w:rsidR="009256FC" w:rsidRPr="006B7092">
        <w:rPr>
          <w:rFonts w:cs="Arial"/>
          <w:sz w:val="24"/>
          <w:szCs w:val="24"/>
        </w:rPr>
        <w:t>екот на 201</w:t>
      </w:r>
      <w:r w:rsidR="003271A4" w:rsidRPr="006B7092">
        <w:rPr>
          <w:rFonts w:cs="Arial"/>
          <w:sz w:val="24"/>
          <w:szCs w:val="24"/>
        </w:rPr>
        <w:t>4</w:t>
      </w:r>
      <w:r w:rsidR="00553E7A" w:rsidRPr="006B7092">
        <w:rPr>
          <w:rFonts w:cs="Arial"/>
          <w:sz w:val="24"/>
          <w:szCs w:val="24"/>
        </w:rPr>
        <w:t xml:space="preserve"> година</w:t>
      </w:r>
      <w:r w:rsidR="00553E7A" w:rsidRPr="006B7092">
        <w:rPr>
          <w:rFonts w:cs="Arial"/>
          <w:sz w:val="24"/>
          <w:szCs w:val="24"/>
          <w:lang w:val="en-US"/>
        </w:rPr>
        <w:t xml:space="preserve"> </w:t>
      </w:r>
      <w:r w:rsidR="00553E7A" w:rsidRPr="006B7092">
        <w:rPr>
          <w:rFonts w:cs="Arial"/>
          <w:sz w:val="24"/>
          <w:szCs w:val="24"/>
        </w:rPr>
        <w:t xml:space="preserve">се раководеше од релевантни компоненти и цели на системите на </w:t>
      </w:r>
      <w:r w:rsidR="006D683A" w:rsidRPr="006B7092">
        <w:rPr>
          <w:rFonts w:cs="Arial"/>
          <w:sz w:val="24"/>
          <w:szCs w:val="24"/>
        </w:rPr>
        <w:t>внатрешна</w:t>
      </w:r>
      <w:r w:rsidR="00553E7A" w:rsidRPr="006B7092">
        <w:rPr>
          <w:rFonts w:cs="Arial"/>
          <w:sz w:val="24"/>
          <w:szCs w:val="24"/>
        </w:rPr>
        <w:t xml:space="preserve"> контрола, и</w:t>
      </w:r>
      <w:r w:rsidR="004D2B7E" w:rsidRPr="006B7092">
        <w:rPr>
          <w:rFonts w:cs="Arial"/>
          <w:sz w:val="24"/>
          <w:szCs w:val="24"/>
        </w:rPr>
        <w:t xml:space="preserve"> </w:t>
      </w:r>
      <w:r w:rsidR="00553E7A" w:rsidRPr="006B7092">
        <w:rPr>
          <w:rFonts w:cs="Arial"/>
          <w:sz w:val="24"/>
          <w:szCs w:val="24"/>
        </w:rPr>
        <w:t>тоа</w:t>
      </w:r>
      <w:r w:rsidR="00553E7A" w:rsidRPr="006B7092">
        <w:rPr>
          <w:rFonts w:cs="Arial"/>
          <w:sz w:val="24"/>
          <w:szCs w:val="24"/>
          <w:lang w:val="en-US"/>
        </w:rPr>
        <w:t>:</w:t>
      </w:r>
    </w:p>
    <w:p w:rsidR="00AD22CE" w:rsidRPr="006B7092" w:rsidRDefault="00AD22CE" w:rsidP="006B7092">
      <w:pPr>
        <w:autoSpaceDE w:val="0"/>
        <w:autoSpaceDN w:val="0"/>
        <w:adjustRightInd w:val="0"/>
        <w:spacing w:after="0" w:line="240" w:lineRule="auto"/>
        <w:jc w:val="both"/>
        <w:rPr>
          <w:rFonts w:cs="Arial"/>
          <w:sz w:val="24"/>
          <w:szCs w:val="24"/>
        </w:rPr>
      </w:pPr>
    </w:p>
    <w:p w:rsidR="004D2B7E" w:rsidRPr="006B7092" w:rsidRDefault="00553E7A" w:rsidP="006B7092">
      <w:pPr>
        <w:pStyle w:val="ListParagraph"/>
        <w:numPr>
          <w:ilvl w:val="0"/>
          <w:numId w:val="3"/>
        </w:numPr>
        <w:autoSpaceDE w:val="0"/>
        <w:autoSpaceDN w:val="0"/>
        <w:adjustRightInd w:val="0"/>
        <w:spacing w:after="0" w:line="240" w:lineRule="auto"/>
        <w:jc w:val="both"/>
        <w:rPr>
          <w:rFonts w:cs="Arial"/>
          <w:sz w:val="24"/>
          <w:szCs w:val="24"/>
        </w:rPr>
      </w:pPr>
      <w:r w:rsidRPr="006B7092">
        <w:rPr>
          <w:rFonts w:cs="Arial"/>
          <w:sz w:val="24"/>
          <w:szCs w:val="24"/>
        </w:rPr>
        <w:t>Дали ревидираните процеси или активности се регулирани со интерни политики и процедури</w:t>
      </w:r>
      <w:r w:rsidRPr="006B7092">
        <w:rPr>
          <w:rFonts w:cs="Arial"/>
          <w:sz w:val="24"/>
          <w:szCs w:val="24"/>
          <w:lang w:val="en-US"/>
        </w:rPr>
        <w:t>,</w:t>
      </w:r>
      <w:r w:rsidRPr="006B7092">
        <w:rPr>
          <w:rFonts w:cs="Arial"/>
          <w:sz w:val="24"/>
          <w:szCs w:val="24"/>
        </w:rPr>
        <w:t xml:space="preserve"> колку и дали истите се во согласност со законската регулатива и деловната политика на Банката</w:t>
      </w:r>
      <w:r w:rsidRPr="006B7092">
        <w:rPr>
          <w:rFonts w:cs="Arial"/>
          <w:sz w:val="24"/>
          <w:szCs w:val="24"/>
          <w:lang w:val="en-US"/>
        </w:rPr>
        <w:t>;</w:t>
      </w:r>
    </w:p>
    <w:p w:rsidR="00AD22CE" w:rsidRPr="006B7092" w:rsidRDefault="00AD22CE" w:rsidP="006B7092">
      <w:pPr>
        <w:pStyle w:val="ListParagraph"/>
        <w:autoSpaceDE w:val="0"/>
        <w:autoSpaceDN w:val="0"/>
        <w:adjustRightInd w:val="0"/>
        <w:spacing w:after="0" w:line="240" w:lineRule="auto"/>
        <w:ind w:left="1080"/>
        <w:jc w:val="both"/>
        <w:rPr>
          <w:rFonts w:cs="Arial"/>
          <w:sz w:val="24"/>
          <w:szCs w:val="24"/>
        </w:rPr>
      </w:pPr>
    </w:p>
    <w:p w:rsidR="00553E7A" w:rsidRPr="006B7092" w:rsidRDefault="00553E7A" w:rsidP="006B7092">
      <w:pPr>
        <w:pStyle w:val="ListParagraph"/>
        <w:numPr>
          <w:ilvl w:val="0"/>
          <w:numId w:val="3"/>
        </w:numPr>
        <w:autoSpaceDE w:val="0"/>
        <w:autoSpaceDN w:val="0"/>
        <w:adjustRightInd w:val="0"/>
        <w:spacing w:after="0" w:line="240" w:lineRule="auto"/>
        <w:jc w:val="both"/>
        <w:rPr>
          <w:rFonts w:cs="Arial"/>
          <w:sz w:val="24"/>
          <w:szCs w:val="24"/>
        </w:rPr>
      </w:pPr>
      <w:r w:rsidRPr="006B7092">
        <w:rPr>
          <w:rFonts w:cs="Arial"/>
          <w:sz w:val="24"/>
          <w:szCs w:val="24"/>
        </w:rPr>
        <w:t>Дали е имплементирана адекватна поделба на овластувања и одговорности на вработените во организационите делови во Банката носители на ревидираните работни процеси заради минимизирање на конфликтни должности и одговорности и елиминирање на ризик од намерни или ненамерни гр</w:t>
      </w:r>
      <w:r w:rsidRPr="006B7092">
        <w:rPr>
          <w:rFonts w:cs="Arial"/>
          <w:sz w:val="24"/>
          <w:szCs w:val="24"/>
          <w:lang w:val="en-US"/>
        </w:rPr>
        <w:t>e</w:t>
      </w:r>
      <w:r w:rsidRPr="006B7092">
        <w:rPr>
          <w:rFonts w:cs="Arial"/>
          <w:sz w:val="24"/>
          <w:szCs w:val="24"/>
        </w:rPr>
        <w:t>шки и злоупотреби и на начин кој се обезбедува ефикасна контрола на управување со ризици на кој е изложен ревидираниот процес</w:t>
      </w:r>
      <w:r w:rsidRPr="006B7092">
        <w:rPr>
          <w:rFonts w:cs="Arial"/>
          <w:sz w:val="24"/>
          <w:szCs w:val="24"/>
          <w:lang w:val="en-US"/>
        </w:rPr>
        <w:t>;</w:t>
      </w:r>
    </w:p>
    <w:p w:rsidR="00AD22CE" w:rsidRPr="006B7092" w:rsidRDefault="00AD22CE" w:rsidP="006B7092">
      <w:pPr>
        <w:pStyle w:val="ListParagraph"/>
        <w:spacing w:after="0"/>
        <w:jc w:val="both"/>
        <w:rPr>
          <w:rFonts w:cs="Arial"/>
          <w:sz w:val="24"/>
          <w:szCs w:val="24"/>
        </w:rPr>
      </w:pPr>
    </w:p>
    <w:p w:rsidR="00553E7A" w:rsidRPr="006B7092" w:rsidRDefault="00553E7A" w:rsidP="006B7092">
      <w:pPr>
        <w:pStyle w:val="ListParagraph"/>
        <w:numPr>
          <w:ilvl w:val="0"/>
          <w:numId w:val="3"/>
        </w:numPr>
        <w:autoSpaceDE w:val="0"/>
        <w:autoSpaceDN w:val="0"/>
        <w:adjustRightInd w:val="0"/>
        <w:spacing w:after="0" w:line="240" w:lineRule="auto"/>
        <w:jc w:val="both"/>
        <w:rPr>
          <w:rFonts w:cs="Arial"/>
          <w:sz w:val="24"/>
          <w:szCs w:val="24"/>
        </w:rPr>
      </w:pPr>
      <w:r w:rsidRPr="006B7092">
        <w:rPr>
          <w:rFonts w:cs="Arial"/>
          <w:sz w:val="24"/>
          <w:szCs w:val="24"/>
        </w:rPr>
        <w:t>Дали има имплементирано ефикасен систем за комуникација на различни нивоа со цел за целосно разбирање и примена на политиките и процедурите во секојдневните задачи и одговорности</w:t>
      </w:r>
      <w:r w:rsidRPr="006B7092">
        <w:rPr>
          <w:rFonts w:cs="Arial"/>
          <w:sz w:val="24"/>
          <w:szCs w:val="24"/>
          <w:lang w:val="en-US"/>
        </w:rPr>
        <w:t>;</w:t>
      </w:r>
    </w:p>
    <w:p w:rsidR="00AD22CE" w:rsidRPr="006B7092" w:rsidRDefault="00AD22CE" w:rsidP="006B7092">
      <w:pPr>
        <w:pStyle w:val="ListParagraph"/>
        <w:spacing w:after="0"/>
        <w:jc w:val="both"/>
        <w:rPr>
          <w:rFonts w:cs="Arial"/>
          <w:sz w:val="24"/>
          <w:szCs w:val="24"/>
        </w:rPr>
      </w:pPr>
    </w:p>
    <w:p w:rsidR="00553E7A" w:rsidRPr="006B7092" w:rsidRDefault="00553E7A" w:rsidP="006B7092">
      <w:pPr>
        <w:pStyle w:val="ListParagraph"/>
        <w:numPr>
          <w:ilvl w:val="0"/>
          <w:numId w:val="3"/>
        </w:numPr>
        <w:autoSpaceDE w:val="0"/>
        <w:autoSpaceDN w:val="0"/>
        <w:adjustRightInd w:val="0"/>
        <w:spacing w:after="0" w:line="240" w:lineRule="auto"/>
        <w:jc w:val="both"/>
        <w:rPr>
          <w:rFonts w:cs="Arial"/>
          <w:sz w:val="24"/>
          <w:szCs w:val="24"/>
        </w:rPr>
      </w:pPr>
      <w:r w:rsidRPr="006B7092">
        <w:rPr>
          <w:rFonts w:cs="Arial"/>
          <w:sz w:val="24"/>
          <w:szCs w:val="24"/>
        </w:rPr>
        <w:t>Дали ревидираните процеси се подржани со адекватен информатички систем, во кој степен се интегрирани интерните и екстерните политики и процедури, со цел да се постигне автоматизираност на постапките за прифаќање, обработка и процесирање на налозите на сите нивоа и електронска обработка на податоци</w:t>
      </w:r>
      <w:r w:rsidRPr="006B7092">
        <w:rPr>
          <w:rFonts w:cs="Arial"/>
          <w:sz w:val="24"/>
          <w:szCs w:val="24"/>
          <w:lang w:val="en-US"/>
        </w:rPr>
        <w:t>;</w:t>
      </w:r>
    </w:p>
    <w:p w:rsidR="006A7550" w:rsidRPr="006B7092" w:rsidRDefault="006A7550" w:rsidP="006B7092">
      <w:pPr>
        <w:pStyle w:val="ListParagraph"/>
        <w:autoSpaceDE w:val="0"/>
        <w:autoSpaceDN w:val="0"/>
        <w:adjustRightInd w:val="0"/>
        <w:spacing w:after="0" w:line="240" w:lineRule="auto"/>
        <w:ind w:left="1080"/>
        <w:jc w:val="both"/>
        <w:rPr>
          <w:rFonts w:cs="Arial"/>
          <w:sz w:val="24"/>
          <w:szCs w:val="24"/>
        </w:rPr>
      </w:pPr>
    </w:p>
    <w:p w:rsidR="006A7550" w:rsidRPr="006B7092" w:rsidRDefault="006A7550" w:rsidP="006B7092">
      <w:pPr>
        <w:pStyle w:val="ListParagraph"/>
        <w:numPr>
          <w:ilvl w:val="0"/>
          <w:numId w:val="3"/>
        </w:numPr>
        <w:autoSpaceDE w:val="0"/>
        <w:autoSpaceDN w:val="0"/>
        <w:adjustRightInd w:val="0"/>
        <w:spacing w:after="0" w:line="240" w:lineRule="auto"/>
        <w:jc w:val="both"/>
        <w:rPr>
          <w:rFonts w:cs="Arial"/>
          <w:sz w:val="24"/>
          <w:szCs w:val="24"/>
        </w:rPr>
      </w:pPr>
      <w:r w:rsidRPr="006B7092">
        <w:rPr>
          <w:rFonts w:cs="Arial"/>
          <w:sz w:val="24"/>
          <w:szCs w:val="24"/>
        </w:rPr>
        <w:t>Дали постоечките системски контроли во апликативните решенија за работа се доволни, сигурни и безбедни, за да ги спречат намерните и ненамерните грешки и злоупотреби и се доволно ефикасни за да ги минимизираат ризиците од работењето</w:t>
      </w:r>
      <w:r w:rsidRPr="006B7092">
        <w:rPr>
          <w:rFonts w:cs="Arial"/>
          <w:sz w:val="24"/>
          <w:szCs w:val="24"/>
          <w:lang w:val="en-US"/>
        </w:rPr>
        <w:t>;</w:t>
      </w:r>
    </w:p>
    <w:p w:rsidR="006A7550" w:rsidRPr="006B7092" w:rsidRDefault="006A7550" w:rsidP="006B7092">
      <w:pPr>
        <w:pStyle w:val="ListParagraph"/>
        <w:autoSpaceDE w:val="0"/>
        <w:autoSpaceDN w:val="0"/>
        <w:adjustRightInd w:val="0"/>
        <w:spacing w:after="0" w:line="240" w:lineRule="auto"/>
        <w:ind w:left="1080"/>
        <w:jc w:val="both"/>
        <w:rPr>
          <w:rFonts w:cs="Arial"/>
          <w:sz w:val="24"/>
          <w:szCs w:val="24"/>
        </w:rPr>
      </w:pPr>
    </w:p>
    <w:p w:rsidR="006A7550" w:rsidRPr="006B7092" w:rsidRDefault="006A7550" w:rsidP="006B7092">
      <w:pPr>
        <w:pStyle w:val="ListParagraph"/>
        <w:numPr>
          <w:ilvl w:val="0"/>
          <w:numId w:val="3"/>
        </w:numPr>
        <w:autoSpaceDE w:val="0"/>
        <w:autoSpaceDN w:val="0"/>
        <w:adjustRightInd w:val="0"/>
        <w:spacing w:after="0" w:line="240" w:lineRule="auto"/>
        <w:jc w:val="both"/>
        <w:rPr>
          <w:rFonts w:cs="Arial"/>
          <w:sz w:val="24"/>
          <w:szCs w:val="24"/>
        </w:rPr>
      </w:pPr>
      <w:r w:rsidRPr="006B7092">
        <w:rPr>
          <w:rFonts w:cs="Arial"/>
          <w:sz w:val="24"/>
          <w:szCs w:val="24"/>
        </w:rPr>
        <w:t>Дали системот за интерна контрола во Банката, овозможува препознавање и проценка на значајните ризици на кои е изложена Банката, и</w:t>
      </w:r>
      <w:r w:rsidR="005875FA" w:rsidRPr="006B7092">
        <w:rPr>
          <w:rFonts w:cs="Arial"/>
          <w:sz w:val="24"/>
          <w:szCs w:val="24"/>
        </w:rPr>
        <w:t xml:space="preserve"> </w:t>
      </w:r>
      <w:r w:rsidRPr="006B7092">
        <w:rPr>
          <w:rFonts w:cs="Arial"/>
          <w:sz w:val="24"/>
          <w:szCs w:val="24"/>
        </w:rPr>
        <w:t>тоа</w:t>
      </w:r>
      <w:r w:rsidRPr="006B7092">
        <w:rPr>
          <w:rFonts w:cs="Arial"/>
          <w:sz w:val="24"/>
          <w:szCs w:val="24"/>
          <w:lang w:val="en-US"/>
        </w:rPr>
        <w:t>:</w:t>
      </w:r>
      <w:r w:rsidRPr="006B7092">
        <w:rPr>
          <w:rFonts w:cs="Arial"/>
          <w:sz w:val="24"/>
          <w:szCs w:val="24"/>
        </w:rPr>
        <w:t xml:space="preserve"> кредитен, ликвидносен, пазарен, оперативен и други ризици на кои се изложени деловните процеси и работењето на Банката</w:t>
      </w:r>
      <w:r w:rsidRPr="006B7092">
        <w:rPr>
          <w:rFonts w:cs="Arial"/>
          <w:sz w:val="24"/>
          <w:szCs w:val="24"/>
          <w:lang w:val="en-US"/>
        </w:rPr>
        <w:t>.</w:t>
      </w:r>
      <w:r w:rsidRPr="006B7092">
        <w:rPr>
          <w:rFonts w:cs="Arial"/>
          <w:sz w:val="24"/>
          <w:szCs w:val="24"/>
        </w:rPr>
        <w:t xml:space="preserve"> </w:t>
      </w:r>
    </w:p>
    <w:p w:rsidR="00AD22CE" w:rsidRPr="006B7092" w:rsidRDefault="00AD22CE" w:rsidP="006B7092">
      <w:pPr>
        <w:pStyle w:val="ListParagraph"/>
        <w:autoSpaceDE w:val="0"/>
        <w:autoSpaceDN w:val="0"/>
        <w:adjustRightInd w:val="0"/>
        <w:spacing w:after="0" w:line="240" w:lineRule="auto"/>
        <w:jc w:val="both"/>
        <w:rPr>
          <w:rFonts w:cs="Arial"/>
          <w:sz w:val="24"/>
          <w:szCs w:val="24"/>
        </w:rPr>
      </w:pPr>
    </w:p>
    <w:p w:rsidR="00553E7A" w:rsidRPr="006B7092" w:rsidRDefault="00553E7A" w:rsidP="006B7092">
      <w:pPr>
        <w:autoSpaceDE w:val="0"/>
        <w:autoSpaceDN w:val="0"/>
        <w:adjustRightInd w:val="0"/>
        <w:spacing w:after="0" w:line="240" w:lineRule="auto"/>
        <w:jc w:val="both"/>
        <w:rPr>
          <w:rFonts w:cs="Arial"/>
          <w:sz w:val="24"/>
          <w:szCs w:val="24"/>
        </w:rPr>
      </w:pPr>
      <w:r w:rsidRPr="006B7092">
        <w:rPr>
          <w:rFonts w:cs="Arial"/>
          <w:sz w:val="24"/>
          <w:szCs w:val="24"/>
        </w:rPr>
        <w:lastRenderedPageBreak/>
        <w:t>Врз основа на извршените поединечни ревизии во т</w:t>
      </w:r>
      <w:r w:rsidR="004D2B7E" w:rsidRPr="006B7092">
        <w:rPr>
          <w:rFonts w:cs="Arial"/>
          <w:sz w:val="24"/>
          <w:szCs w:val="24"/>
        </w:rPr>
        <w:t>екот на 201</w:t>
      </w:r>
      <w:r w:rsidR="0006302B">
        <w:rPr>
          <w:rFonts w:cs="Arial"/>
          <w:sz w:val="24"/>
          <w:szCs w:val="24"/>
          <w:lang w:val="en-US"/>
        </w:rPr>
        <w:t>5</w:t>
      </w:r>
      <w:r w:rsidRPr="006B7092">
        <w:rPr>
          <w:rFonts w:cs="Arial"/>
          <w:sz w:val="24"/>
          <w:szCs w:val="24"/>
        </w:rPr>
        <w:t xml:space="preserve"> година, од изведените ревизорски докази врз основа на контрола на репрезентативен примерок на ревидираниот материјал </w:t>
      </w:r>
      <w:r w:rsidR="00314BE7" w:rsidRPr="006B7092">
        <w:rPr>
          <w:rFonts w:cs="Arial"/>
          <w:sz w:val="24"/>
          <w:szCs w:val="24"/>
        </w:rPr>
        <w:t>селектиран</w:t>
      </w:r>
      <w:r w:rsidRPr="006B7092">
        <w:rPr>
          <w:rFonts w:cs="Arial"/>
          <w:sz w:val="24"/>
          <w:szCs w:val="24"/>
        </w:rPr>
        <w:t xml:space="preserve"> по случаен избор од сите ревидирани процеси, </w:t>
      </w:r>
      <w:r w:rsidR="00CD0AE4" w:rsidRPr="006B7092">
        <w:rPr>
          <w:rFonts w:cs="Arial"/>
          <w:sz w:val="24"/>
          <w:szCs w:val="24"/>
        </w:rPr>
        <w:t>Службата за в</w:t>
      </w:r>
      <w:r w:rsidRPr="006B7092">
        <w:rPr>
          <w:rFonts w:cs="Arial"/>
          <w:sz w:val="24"/>
          <w:szCs w:val="24"/>
        </w:rPr>
        <w:t xml:space="preserve">натрешната ревизија го потврдува стекнатото разумно </w:t>
      </w:r>
      <w:r w:rsidR="001E37EC" w:rsidRPr="006B7092">
        <w:rPr>
          <w:rFonts w:cs="Arial"/>
          <w:sz w:val="24"/>
          <w:szCs w:val="24"/>
        </w:rPr>
        <w:t>уверување</w:t>
      </w:r>
      <w:r w:rsidRPr="006B7092">
        <w:rPr>
          <w:rFonts w:cs="Arial"/>
          <w:sz w:val="24"/>
          <w:szCs w:val="24"/>
        </w:rPr>
        <w:t xml:space="preserve"> дека системите за интерна контрола во Банката се имплементираат во насока на минимизирање на сите типови на ризици карактеристични за банкарското работење и Банката во целина. Идентификуваните слабости во системот на интерни контроли, </w:t>
      </w:r>
      <w:r w:rsidR="008A59BF" w:rsidRPr="006B7092">
        <w:rPr>
          <w:rFonts w:cs="Arial"/>
          <w:sz w:val="24"/>
          <w:szCs w:val="24"/>
        </w:rPr>
        <w:t xml:space="preserve">при </w:t>
      </w:r>
      <w:r w:rsidRPr="006B7092">
        <w:rPr>
          <w:rFonts w:cs="Arial"/>
          <w:sz w:val="24"/>
          <w:szCs w:val="24"/>
        </w:rPr>
        <w:t>имплементација</w:t>
      </w:r>
      <w:r w:rsidR="008A59BF" w:rsidRPr="006B7092">
        <w:rPr>
          <w:rFonts w:cs="Arial"/>
          <w:sz w:val="24"/>
          <w:szCs w:val="24"/>
        </w:rPr>
        <w:t>та</w:t>
      </w:r>
      <w:r w:rsidRPr="006B7092">
        <w:rPr>
          <w:rFonts w:cs="Arial"/>
          <w:sz w:val="24"/>
          <w:szCs w:val="24"/>
        </w:rPr>
        <w:t xml:space="preserve"> на новиот информационен систем се предмет на континуирани надградби и подобрувања согласно дадените препораки за нивно минимизирање.</w:t>
      </w:r>
    </w:p>
    <w:p w:rsidR="00753078" w:rsidRPr="006B7092" w:rsidRDefault="00753078" w:rsidP="006B7092">
      <w:pPr>
        <w:spacing w:after="0"/>
        <w:jc w:val="both"/>
        <w:rPr>
          <w:rFonts w:cs="Arial"/>
          <w:b/>
          <w:sz w:val="24"/>
          <w:szCs w:val="24"/>
        </w:rPr>
      </w:pPr>
    </w:p>
    <w:p w:rsidR="00553E7A" w:rsidRPr="006B7092" w:rsidRDefault="00553E7A" w:rsidP="006B7092">
      <w:pPr>
        <w:pStyle w:val="ListParagraph"/>
        <w:numPr>
          <w:ilvl w:val="0"/>
          <w:numId w:val="12"/>
        </w:numPr>
        <w:autoSpaceDE w:val="0"/>
        <w:autoSpaceDN w:val="0"/>
        <w:adjustRightInd w:val="0"/>
        <w:spacing w:after="0" w:line="240" w:lineRule="auto"/>
        <w:jc w:val="both"/>
        <w:rPr>
          <w:rFonts w:cs="Arial"/>
          <w:b/>
          <w:i/>
          <w:sz w:val="24"/>
          <w:szCs w:val="24"/>
        </w:rPr>
      </w:pPr>
      <w:r w:rsidRPr="006B7092">
        <w:rPr>
          <w:rFonts w:cs="Arial"/>
          <w:b/>
          <w:i/>
          <w:sz w:val="24"/>
          <w:szCs w:val="24"/>
        </w:rPr>
        <w:t xml:space="preserve">Наоди и предложени мерки на Службата за внатрешна ревизија </w:t>
      </w:r>
    </w:p>
    <w:p w:rsidR="00721C9D" w:rsidRPr="006B7092" w:rsidRDefault="00721C9D" w:rsidP="006B7092">
      <w:pPr>
        <w:autoSpaceDE w:val="0"/>
        <w:autoSpaceDN w:val="0"/>
        <w:adjustRightInd w:val="0"/>
        <w:spacing w:after="0" w:line="240" w:lineRule="auto"/>
        <w:jc w:val="both"/>
        <w:rPr>
          <w:rFonts w:cs="Arial"/>
          <w:sz w:val="24"/>
          <w:szCs w:val="24"/>
        </w:rPr>
      </w:pPr>
    </w:p>
    <w:p w:rsidR="00307BBE" w:rsidRPr="006B7092" w:rsidRDefault="00307BBE" w:rsidP="006B7092">
      <w:pPr>
        <w:autoSpaceDE w:val="0"/>
        <w:autoSpaceDN w:val="0"/>
        <w:adjustRightInd w:val="0"/>
        <w:spacing w:after="0" w:line="240" w:lineRule="auto"/>
        <w:jc w:val="both"/>
        <w:rPr>
          <w:rFonts w:cs="Arial"/>
          <w:sz w:val="24"/>
          <w:szCs w:val="24"/>
        </w:rPr>
      </w:pPr>
      <w:r w:rsidRPr="006B7092">
        <w:rPr>
          <w:rFonts w:cs="Arial"/>
          <w:sz w:val="24"/>
          <w:szCs w:val="24"/>
        </w:rPr>
        <w:t xml:space="preserve">Сумарниот извештај за наодите, препораките и статусот на нивната имплементација </w:t>
      </w:r>
      <w:r w:rsidR="004170B0" w:rsidRPr="006B7092">
        <w:rPr>
          <w:rFonts w:cs="Arial"/>
          <w:sz w:val="24"/>
          <w:szCs w:val="24"/>
        </w:rPr>
        <w:t>се</w:t>
      </w:r>
      <w:r w:rsidRPr="006B7092">
        <w:rPr>
          <w:rFonts w:cs="Arial"/>
          <w:sz w:val="24"/>
          <w:szCs w:val="24"/>
        </w:rPr>
        <w:t xml:space="preserve"> изнесени во табелите кои се дадени во прилог на  </w:t>
      </w:r>
      <w:r w:rsidR="002C5B0C" w:rsidRPr="006B7092">
        <w:rPr>
          <w:rFonts w:cs="Arial"/>
          <w:sz w:val="24"/>
          <w:szCs w:val="24"/>
        </w:rPr>
        <w:t>Г</w:t>
      </w:r>
      <w:r w:rsidRPr="006B7092">
        <w:rPr>
          <w:rFonts w:cs="Arial"/>
          <w:sz w:val="24"/>
          <w:szCs w:val="24"/>
        </w:rPr>
        <w:t>одишнио</w:t>
      </w:r>
      <w:r w:rsidR="00026078" w:rsidRPr="006B7092">
        <w:rPr>
          <w:rFonts w:cs="Arial"/>
          <w:sz w:val="24"/>
          <w:szCs w:val="24"/>
        </w:rPr>
        <w:t>т</w:t>
      </w:r>
      <w:r w:rsidRPr="006B7092">
        <w:rPr>
          <w:rFonts w:cs="Arial"/>
          <w:sz w:val="24"/>
          <w:szCs w:val="24"/>
        </w:rPr>
        <w:t xml:space="preserve"> извештај. Истите беа детално изнесени во поединечните извештаи, изготвени од Службата за внатрешна ревизија во текот на 201</w:t>
      </w:r>
      <w:r w:rsidR="003E7FF1">
        <w:rPr>
          <w:rFonts w:cs="Arial"/>
          <w:sz w:val="24"/>
          <w:szCs w:val="24"/>
          <w:lang w:val="en-US"/>
        </w:rPr>
        <w:t>5</w:t>
      </w:r>
      <w:r w:rsidRPr="006B7092">
        <w:rPr>
          <w:rFonts w:cs="Arial"/>
          <w:sz w:val="24"/>
          <w:szCs w:val="24"/>
        </w:rPr>
        <w:t xml:space="preserve"> година и истите беа редовно доставувани и разгледувани од страна на раководителите на организационите единици </w:t>
      </w:r>
      <w:r w:rsidR="004170B0" w:rsidRPr="006B7092">
        <w:rPr>
          <w:rFonts w:cs="Arial"/>
          <w:sz w:val="24"/>
          <w:szCs w:val="24"/>
        </w:rPr>
        <w:t xml:space="preserve">(ОЕ) </w:t>
      </w:r>
      <w:r w:rsidRPr="006B7092">
        <w:rPr>
          <w:rFonts w:cs="Arial"/>
          <w:sz w:val="24"/>
          <w:szCs w:val="24"/>
        </w:rPr>
        <w:t>опфатени со внатрешна</w:t>
      </w:r>
      <w:r w:rsidR="004170B0" w:rsidRPr="006B7092">
        <w:rPr>
          <w:rFonts w:cs="Arial"/>
          <w:sz w:val="24"/>
          <w:szCs w:val="24"/>
        </w:rPr>
        <w:t>та</w:t>
      </w:r>
      <w:r w:rsidRPr="006B7092">
        <w:rPr>
          <w:rFonts w:cs="Arial"/>
          <w:sz w:val="24"/>
          <w:szCs w:val="24"/>
        </w:rPr>
        <w:t xml:space="preserve"> ревизија, Управнио</w:t>
      </w:r>
      <w:r w:rsidR="004170B0" w:rsidRPr="006B7092">
        <w:rPr>
          <w:rFonts w:cs="Arial"/>
          <w:sz w:val="24"/>
          <w:szCs w:val="24"/>
        </w:rPr>
        <w:t>т Одбор</w:t>
      </w:r>
      <w:r w:rsidRPr="006B7092">
        <w:rPr>
          <w:rFonts w:cs="Arial"/>
          <w:sz w:val="24"/>
          <w:szCs w:val="24"/>
          <w:lang w:val="en-US"/>
        </w:rPr>
        <w:t>,</w:t>
      </w:r>
      <w:r w:rsidRPr="006B7092">
        <w:rPr>
          <w:rFonts w:cs="Arial"/>
          <w:sz w:val="24"/>
          <w:szCs w:val="24"/>
        </w:rPr>
        <w:t xml:space="preserve"> Одборот за ревизија и Надзорниот Одбор на Банката. </w:t>
      </w:r>
    </w:p>
    <w:p w:rsidR="00307BBE" w:rsidRPr="006B7092" w:rsidRDefault="00307BBE" w:rsidP="006B7092">
      <w:pPr>
        <w:autoSpaceDE w:val="0"/>
        <w:autoSpaceDN w:val="0"/>
        <w:adjustRightInd w:val="0"/>
        <w:spacing w:after="0" w:line="240" w:lineRule="auto"/>
        <w:jc w:val="both"/>
        <w:rPr>
          <w:rFonts w:cs="Arial"/>
          <w:sz w:val="24"/>
          <w:szCs w:val="24"/>
        </w:rPr>
      </w:pPr>
    </w:p>
    <w:p w:rsidR="00307BBE" w:rsidRDefault="00D6305C" w:rsidP="006B7092">
      <w:pPr>
        <w:autoSpaceDE w:val="0"/>
        <w:autoSpaceDN w:val="0"/>
        <w:adjustRightInd w:val="0"/>
        <w:spacing w:after="0" w:line="240" w:lineRule="auto"/>
        <w:jc w:val="both"/>
        <w:rPr>
          <w:rFonts w:cs="Arial"/>
          <w:sz w:val="24"/>
          <w:szCs w:val="24"/>
        </w:rPr>
      </w:pPr>
      <w:r>
        <w:rPr>
          <w:rFonts w:cs="Arial"/>
          <w:sz w:val="24"/>
          <w:szCs w:val="24"/>
        </w:rPr>
        <w:t>Г</w:t>
      </w:r>
      <w:r w:rsidR="00307BBE" w:rsidRPr="006B7092">
        <w:rPr>
          <w:rFonts w:cs="Arial"/>
          <w:sz w:val="24"/>
          <w:szCs w:val="24"/>
        </w:rPr>
        <w:t>одишниот извештај содржи опис на системите  и процесите на работа кои биле предмет на ревизија, наодите од извршените контроли, идентификуваните слабости и дадените препораки за надминување на истите како и информација за нивната имплементација, односно статус на препораките со пресекот на датумот на изготвување на овој извештај.</w:t>
      </w:r>
    </w:p>
    <w:p w:rsidR="00D6305C" w:rsidRPr="006B7092" w:rsidRDefault="00D6305C" w:rsidP="006B7092">
      <w:pPr>
        <w:autoSpaceDE w:val="0"/>
        <w:autoSpaceDN w:val="0"/>
        <w:adjustRightInd w:val="0"/>
        <w:spacing w:after="0" w:line="240" w:lineRule="auto"/>
        <w:jc w:val="both"/>
        <w:rPr>
          <w:rFonts w:cs="Arial"/>
          <w:sz w:val="24"/>
          <w:szCs w:val="24"/>
        </w:rPr>
      </w:pPr>
    </w:p>
    <w:p w:rsidR="00553E7A" w:rsidRPr="006B7092" w:rsidRDefault="00553E7A" w:rsidP="006B7092">
      <w:pPr>
        <w:pStyle w:val="ListParagraph"/>
        <w:numPr>
          <w:ilvl w:val="0"/>
          <w:numId w:val="12"/>
        </w:numPr>
        <w:autoSpaceDE w:val="0"/>
        <w:autoSpaceDN w:val="0"/>
        <w:adjustRightInd w:val="0"/>
        <w:spacing w:after="0" w:line="240" w:lineRule="auto"/>
        <w:jc w:val="both"/>
        <w:rPr>
          <w:rFonts w:cs="Arial"/>
          <w:b/>
          <w:i/>
          <w:sz w:val="24"/>
          <w:szCs w:val="24"/>
        </w:rPr>
      </w:pPr>
      <w:r w:rsidRPr="006B7092">
        <w:rPr>
          <w:rFonts w:cs="Arial"/>
          <w:b/>
          <w:i/>
          <w:sz w:val="24"/>
          <w:szCs w:val="24"/>
        </w:rPr>
        <w:t xml:space="preserve">Оценка на спроведување на мерките предложени од страна на </w:t>
      </w:r>
      <w:r w:rsidR="006D683A" w:rsidRPr="006B7092">
        <w:rPr>
          <w:rFonts w:cs="Arial"/>
          <w:b/>
          <w:i/>
          <w:sz w:val="24"/>
          <w:szCs w:val="24"/>
        </w:rPr>
        <w:t>Службата за внатрешна ревизија</w:t>
      </w:r>
    </w:p>
    <w:p w:rsidR="00553E7A" w:rsidRPr="006B7092" w:rsidRDefault="00553E7A" w:rsidP="006B7092">
      <w:pPr>
        <w:pStyle w:val="ListParagraph"/>
        <w:autoSpaceDE w:val="0"/>
        <w:autoSpaceDN w:val="0"/>
        <w:adjustRightInd w:val="0"/>
        <w:spacing w:after="0" w:line="240" w:lineRule="auto"/>
        <w:jc w:val="both"/>
        <w:rPr>
          <w:rFonts w:cs="Arial"/>
          <w:b/>
          <w:sz w:val="24"/>
          <w:szCs w:val="24"/>
        </w:rPr>
      </w:pPr>
    </w:p>
    <w:p w:rsidR="00553E7A" w:rsidRPr="006B7092" w:rsidRDefault="00553E7A" w:rsidP="006B7092">
      <w:pPr>
        <w:autoSpaceDE w:val="0"/>
        <w:autoSpaceDN w:val="0"/>
        <w:adjustRightInd w:val="0"/>
        <w:spacing w:after="0" w:line="240" w:lineRule="auto"/>
        <w:jc w:val="both"/>
        <w:rPr>
          <w:rFonts w:cs="Arial"/>
          <w:sz w:val="24"/>
          <w:szCs w:val="24"/>
        </w:rPr>
      </w:pPr>
      <w:r w:rsidRPr="006B7092">
        <w:rPr>
          <w:rFonts w:cs="Arial"/>
          <w:sz w:val="24"/>
          <w:szCs w:val="24"/>
        </w:rPr>
        <w:t xml:space="preserve">Службата за внатрешна ревизија врши редовно мониторинг на постоечкиот статус </w:t>
      </w:r>
      <w:r w:rsidR="00522C2C" w:rsidRPr="006B7092">
        <w:rPr>
          <w:rFonts w:cs="Arial"/>
          <w:sz w:val="24"/>
          <w:szCs w:val="24"/>
        </w:rPr>
        <w:t>на препораките</w:t>
      </w:r>
      <w:r w:rsidR="00880E2A" w:rsidRPr="006B7092">
        <w:rPr>
          <w:rFonts w:cs="Arial"/>
          <w:sz w:val="24"/>
          <w:szCs w:val="24"/>
        </w:rPr>
        <w:t xml:space="preserve">, </w:t>
      </w:r>
      <w:r w:rsidR="00BA1721" w:rsidRPr="006B7092">
        <w:rPr>
          <w:rFonts w:cs="Arial"/>
          <w:sz w:val="24"/>
          <w:szCs w:val="24"/>
        </w:rPr>
        <w:t>при што</w:t>
      </w:r>
      <w:r w:rsidRPr="006B7092">
        <w:rPr>
          <w:rFonts w:cs="Arial"/>
          <w:sz w:val="24"/>
          <w:szCs w:val="24"/>
        </w:rPr>
        <w:t xml:space="preserve"> се превземаат </w:t>
      </w:r>
      <w:r w:rsidR="00522C2C" w:rsidRPr="006B7092">
        <w:rPr>
          <w:rFonts w:cs="Arial"/>
          <w:sz w:val="24"/>
          <w:szCs w:val="24"/>
        </w:rPr>
        <w:t xml:space="preserve">адекватни </w:t>
      </w:r>
      <w:r w:rsidRPr="006B7092">
        <w:rPr>
          <w:rFonts w:cs="Arial"/>
          <w:sz w:val="24"/>
          <w:szCs w:val="24"/>
        </w:rPr>
        <w:t>активности за нивно надминување преку активна соработка с</w:t>
      </w:r>
      <w:r w:rsidR="0029021B" w:rsidRPr="006B7092">
        <w:rPr>
          <w:rFonts w:cs="Arial"/>
          <w:sz w:val="24"/>
          <w:szCs w:val="24"/>
        </w:rPr>
        <w:t>о надлежните органи на Банката.</w:t>
      </w:r>
      <w:r w:rsidR="001860D2" w:rsidRPr="006B7092">
        <w:rPr>
          <w:rFonts w:cs="Arial"/>
          <w:sz w:val="24"/>
          <w:szCs w:val="24"/>
        </w:rPr>
        <w:t xml:space="preserve"> Пред секоја седница на Одбор за ревизија</w:t>
      </w:r>
      <w:r w:rsidR="004170B0" w:rsidRPr="006B7092">
        <w:rPr>
          <w:rFonts w:cs="Arial"/>
          <w:sz w:val="24"/>
          <w:szCs w:val="24"/>
        </w:rPr>
        <w:t xml:space="preserve"> и На</w:t>
      </w:r>
      <w:r w:rsidR="007C4981" w:rsidRPr="006B7092">
        <w:rPr>
          <w:rFonts w:cs="Arial"/>
          <w:sz w:val="24"/>
          <w:szCs w:val="24"/>
        </w:rPr>
        <w:t>дзорен одбор</w:t>
      </w:r>
      <w:r w:rsidR="001860D2" w:rsidRPr="006B7092">
        <w:rPr>
          <w:rFonts w:cs="Arial"/>
          <w:sz w:val="24"/>
          <w:szCs w:val="24"/>
        </w:rPr>
        <w:t xml:space="preserve">, писмено се ажурира статусот на препораките дадени од </w:t>
      </w:r>
      <w:r w:rsidR="007C4981" w:rsidRPr="006B7092">
        <w:rPr>
          <w:rFonts w:cs="Arial"/>
          <w:sz w:val="24"/>
          <w:szCs w:val="24"/>
        </w:rPr>
        <w:t xml:space="preserve">Службата за внатрешна ревизија, од страна на УО и од </w:t>
      </w:r>
      <w:r w:rsidR="004170B0" w:rsidRPr="006B7092">
        <w:rPr>
          <w:rFonts w:cs="Arial"/>
          <w:sz w:val="24"/>
          <w:szCs w:val="24"/>
        </w:rPr>
        <w:t>раководителите</w:t>
      </w:r>
      <w:r w:rsidR="007C4981" w:rsidRPr="006B7092">
        <w:rPr>
          <w:rFonts w:cs="Arial"/>
          <w:sz w:val="24"/>
          <w:szCs w:val="24"/>
        </w:rPr>
        <w:t xml:space="preserve"> на ОЕ на Банката.</w:t>
      </w:r>
    </w:p>
    <w:p w:rsidR="00753078" w:rsidRPr="006B7092" w:rsidRDefault="00753078" w:rsidP="006B7092">
      <w:pPr>
        <w:autoSpaceDE w:val="0"/>
        <w:autoSpaceDN w:val="0"/>
        <w:adjustRightInd w:val="0"/>
        <w:spacing w:after="0" w:line="240" w:lineRule="auto"/>
        <w:jc w:val="both"/>
        <w:rPr>
          <w:rFonts w:cs="Arial"/>
          <w:sz w:val="24"/>
          <w:szCs w:val="24"/>
        </w:rPr>
      </w:pPr>
    </w:p>
    <w:p w:rsidR="008D210E" w:rsidRPr="006B7092" w:rsidRDefault="008D210E" w:rsidP="006B7092">
      <w:pPr>
        <w:pStyle w:val="ListParagraph"/>
        <w:numPr>
          <w:ilvl w:val="0"/>
          <w:numId w:val="12"/>
        </w:numPr>
        <w:autoSpaceDE w:val="0"/>
        <w:autoSpaceDN w:val="0"/>
        <w:adjustRightInd w:val="0"/>
        <w:spacing w:after="0" w:line="240" w:lineRule="auto"/>
        <w:jc w:val="both"/>
        <w:rPr>
          <w:rFonts w:cs="Arial"/>
          <w:b/>
          <w:i/>
          <w:color w:val="000000"/>
          <w:sz w:val="24"/>
          <w:szCs w:val="24"/>
        </w:rPr>
      </w:pPr>
      <w:r w:rsidRPr="006B7092">
        <w:rPr>
          <w:rFonts w:cs="Arial"/>
          <w:b/>
          <w:i/>
          <w:color w:val="000000"/>
          <w:sz w:val="24"/>
          <w:szCs w:val="24"/>
        </w:rPr>
        <w:t xml:space="preserve">и </w:t>
      </w:r>
      <w:r w:rsidRPr="006B7092">
        <w:rPr>
          <w:rFonts w:cs="Arial"/>
          <w:b/>
          <w:i/>
          <w:color w:val="000000"/>
          <w:sz w:val="24"/>
          <w:szCs w:val="24"/>
          <w:lang w:val="en-US"/>
        </w:rPr>
        <w:t xml:space="preserve">VI. </w:t>
      </w:r>
      <w:r w:rsidRPr="006B7092">
        <w:rPr>
          <w:rFonts w:cs="Arial"/>
          <w:b/>
          <w:i/>
          <w:color w:val="000000"/>
          <w:sz w:val="24"/>
          <w:szCs w:val="24"/>
        </w:rPr>
        <w:t>Оцена на реализација на поставените цели со Годишниот план за работа на Службата за внатрешна ревизија во 201</w:t>
      </w:r>
      <w:r w:rsidR="00D6305C">
        <w:rPr>
          <w:rFonts w:cs="Arial"/>
          <w:b/>
          <w:i/>
          <w:color w:val="000000"/>
          <w:sz w:val="24"/>
          <w:szCs w:val="24"/>
        </w:rPr>
        <w:t>5</w:t>
      </w:r>
      <w:r w:rsidRPr="006B7092">
        <w:rPr>
          <w:rFonts w:cs="Arial"/>
          <w:b/>
          <w:i/>
          <w:color w:val="000000"/>
          <w:sz w:val="24"/>
          <w:szCs w:val="24"/>
        </w:rPr>
        <w:t xml:space="preserve"> година и оцена за планираното време за контрола и евентуалното отстапување</w:t>
      </w:r>
    </w:p>
    <w:p w:rsidR="008D210E" w:rsidRPr="006B7092" w:rsidRDefault="008D210E" w:rsidP="006B7092">
      <w:pPr>
        <w:autoSpaceDE w:val="0"/>
        <w:autoSpaceDN w:val="0"/>
        <w:adjustRightInd w:val="0"/>
        <w:spacing w:after="0" w:line="240" w:lineRule="auto"/>
        <w:jc w:val="both"/>
        <w:rPr>
          <w:rFonts w:cs="Arial"/>
          <w:b/>
          <w:color w:val="000000"/>
          <w:sz w:val="24"/>
          <w:szCs w:val="24"/>
        </w:rPr>
      </w:pPr>
    </w:p>
    <w:p w:rsidR="008D210E" w:rsidRPr="006B7092" w:rsidRDefault="008D210E" w:rsidP="006B7092">
      <w:pPr>
        <w:autoSpaceDE w:val="0"/>
        <w:autoSpaceDN w:val="0"/>
        <w:adjustRightInd w:val="0"/>
        <w:spacing w:after="0" w:line="240" w:lineRule="auto"/>
        <w:jc w:val="both"/>
        <w:rPr>
          <w:rFonts w:cs="Arial"/>
          <w:bCs/>
          <w:sz w:val="24"/>
          <w:szCs w:val="24"/>
        </w:rPr>
      </w:pPr>
      <w:r w:rsidRPr="006B7092">
        <w:rPr>
          <w:rFonts w:cs="Arial"/>
          <w:color w:val="000000"/>
          <w:sz w:val="24"/>
          <w:szCs w:val="24"/>
        </w:rPr>
        <w:t>Службата за внатрешна ревизија успешно ги реализираше редовните ревизии спроведени во организационите единици (ОЕ) на Банката, согласно Годишниот план за работа на Службата за 201</w:t>
      </w:r>
      <w:r w:rsidR="000A3E8F">
        <w:rPr>
          <w:rFonts w:cs="Arial"/>
          <w:color w:val="000000"/>
          <w:sz w:val="24"/>
          <w:szCs w:val="24"/>
        </w:rPr>
        <w:t>5</w:t>
      </w:r>
      <w:r w:rsidRPr="006B7092">
        <w:rPr>
          <w:rFonts w:cs="Arial"/>
          <w:color w:val="000000"/>
          <w:sz w:val="24"/>
          <w:szCs w:val="24"/>
        </w:rPr>
        <w:t xml:space="preserve"> година, одобрен од страна на Надзорниот одбор и Одборот за ревизија на Банката и согласно со интерната проценка на најзначајните ризици на кои е изложена Банката. </w:t>
      </w:r>
      <w:r w:rsidRPr="006B7092">
        <w:rPr>
          <w:rFonts w:cs="Arial"/>
          <w:bCs/>
          <w:sz w:val="24"/>
          <w:szCs w:val="24"/>
        </w:rPr>
        <w:t xml:space="preserve">Евентуалните отстапувања од </w:t>
      </w:r>
      <w:r w:rsidRPr="006B7092">
        <w:rPr>
          <w:rFonts w:cs="Arial"/>
          <w:color w:val="000000"/>
          <w:sz w:val="24"/>
          <w:szCs w:val="24"/>
        </w:rPr>
        <w:t xml:space="preserve">Годишниот план </w:t>
      </w:r>
      <w:r w:rsidRPr="006B7092">
        <w:rPr>
          <w:rFonts w:cs="Arial"/>
          <w:bCs/>
          <w:sz w:val="24"/>
          <w:szCs w:val="24"/>
        </w:rPr>
        <w:t xml:space="preserve">се резултат на моменталната потреба за засилена контрола во определена област, или заради условите кои преовладувале во моментот. Некои ревизии се само разместени временски, поради објективни причини. Исто така, беа спроведени и непланирани </w:t>
      </w:r>
      <w:r w:rsidRPr="006B7092">
        <w:rPr>
          <w:rFonts w:cs="Arial"/>
          <w:bCs/>
          <w:sz w:val="24"/>
          <w:szCs w:val="24"/>
        </w:rPr>
        <w:lastRenderedPageBreak/>
        <w:t>(вонредни) ревизии, како и други активности на Службата во текот на 201</w:t>
      </w:r>
      <w:r w:rsidR="000A3E8F">
        <w:rPr>
          <w:rFonts w:cs="Arial"/>
          <w:bCs/>
          <w:sz w:val="24"/>
          <w:szCs w:val="24"/>
        </w:rPr>
        <w:t>5</w:t>
      </w:r>
      <w:r w:rsidRPr="006B7092">
        <w:rPr>
          <w:rFonts w:cs="Arial"/>
          <w:bCs/>
          <w:sz w:val="24"/>
          <w:szCs w:val="24"/>
        </w:rPr>
        <w:t xml:space="preserve"> година. Некои од планираните ревизии за кои не е изготвен посебен извештај, беа опфатени, односно вклучени во ревизиите на другите ОЕ на Банката за кои е изготвен таков извештај. </w:t>
      </w:r>
    </w:p>
    <w:p w:rsidR="00753078" w:rsidRPr="006B7092" w:rsidRDefault="00753078" w:rsidP="006B7092">
      <w:pPr>
        <w:autoSpaceDE w:val="0"/>
        <w:autoSpaceDN w:val="0"/>
        <w:adjustRightInd w:val="0"/>
        <w:spacing w:after="0" w:line="240" w:lineRule="auto"/>
        <w:jc w:val="both"/>
        <w:rPr>
          <w:rFonts w:cs="Arial"/>
          <w:sz w:val="24"/>
          <w:szCs w:val="24"/>
        </w:rPr>
      </w:pPr>
    </w:p>
    <w:p w:rsidR="00430A5F" w:rsidRPr="006B7092" w:rsidRDefault="00430A5F" w:rsidP="006B7092">
      <w:pPr>
        <w:pStyle w:val="ListParagraph"/>
        <w:numPr>
          <w:ilvl w:val="0"/>
          <w:numId w:val="21"/>
        </w:numPr>
        <w:autoSpaceDE w:val="0"/>
        <w:autoSpaceDN w:val="0"/>
        <w:adjustRightInd w:val="0"/>
        <w:spacing w:after="0" w:line="240" w:lineRule="auto"/>
        <w:jc w:val="both"/>
        <w:rPr>
          <w:rFonts w:cs="Arial"/>
          <w:b/>
          <w:i/>
          <w:sz w:val="24"/>
          <w:szCs w:val="24"/>
        </w:rPr>
      </w:pPr>
      <w:r w:rsidRPr="006B7092">
        <w:rPr>
          <w:rFonts w:cs="Arial"/>
          <w:b/>
          <w:i/>
          <w:sz w:val="24"/>
          <w:szCs w:val="24"/>
          <w:lang w:val="en-US"/>
        </w:rPr>
        <w:t>O</w:t>
      </w:r>
      <w:r w:rsidRPr="006B7092">
        <w:rPr>
          <w:rFonts w:cs="Arial"/>
          <w:b/>
          <w:i/>
          <w:sz w:val="24"/>
          <w:szCs w:val="24"/>
        </w:rPr>
        <w:t>станати активности на Службата за вн</w:t>
      </w:r>
      <w:r w:rsidRPr="006B7092">
        <w:rPr>
          <w:rFonts w:cs="Arial"/>
          <w:b/>
          <w:i/>
          <w:sz w:val="24"/>
          <w:szCs w:val="24"/>
          <w:lang w:val="en-US"/>
        </w:rPr>
        <w:t>a</w:t>
      </w:r>
      <w:r w:rsidRPr="006B7092">
        <w:rPr>
          <w:rFonts w:cs="Arial"/>
          <w:b/>
          <w:i/>
          <w:sz w:val="24"/>
          <w:szCs w:val="24"/>
        </w:rPr>
        <w:t>трешна ревизија во текот на  201</w:t>
      </w:r>
      <w:r w:rsidR="00703842">
        <w:rPr>
          <w:rFonts w:cs="Arial"/>
          <w:b/>
          <w:i/>
          <w:sz w:val="24"/>
          <w:szCs w:val="24"/>
        </w:rPr>
        <w:t>5</w:t>
      </w:r>
      <w:r w:rsidRPr="006B7092">
        <w:rPr>
          <w:rFonts w:cs="Arial"/>
          <w:b/>
          <w:i/>
          <w:sz w:val="24"/>
          <w:szCs w:val="24"/>
        </w:rPr>
        <w:t xml:space="preserve"> година</w:t>
      </w:r>
    </w:p>
    <w:p w:rsidR="00CE13A0" w:rsidRPr="006B7092" w:rsidRDefault="00CE13A0" w:rsidP="006B7092">
      <w:pPr>
        <w:autoSpaceDE w:val="0"/>
        <w:autoSpaceDN w:val="0"/>
        <w:adjustRightInd w:val="0"/>
        <w:spacing w:after="0" w:line="240" w:lineRule="auto"/>
        <w:jc w:val="both"/>
        <w:rPr>
          <w:rFonts w:cs="Arial"/>
          <w:b/>
          <w:sz w:val="24"/>
          <w:szCs w:val="24"/>
        </w:rPr>
      </w:pPr>
    </w:p>
    <w:p w:rsidR="0066706E" w:rsidRPr="00C9475F" w:rsidRDefault="0066706E" w:rsidP="0066706E">
      <w:pPr>
        <w:pStyle w:val="ListParagraph"/>
        <w:numPr>
          <w:ilvl w:val="0"/>
          <w:numId w:val="1"/>
        </w:numPr>
        <w:spacing w:after="0"/>
        <w:jc w:val="both"/>
        <w:rPr>
          <w:rFonts w:cs="Arial"/>
          <w:sz w:val="24"/>
          <w:szCs w:val="24"/>
        </w:rPr>
      </w:pPr>
      <w:r w:rsidRPr="00C9475F">
        <w:rPr>
          <w:rFonts w:cs="Arial"/>
          <w:sz w:val="24"/>
          <w:szCs w:val="24"/>
        </w:rPr>
        <w:t>Изготвување на Годишен извештај за работењето на Службата за внатрешна ревизија за 2014 година.</w:t>
      </w:r>
    </w:p>
    <w:p w:rsidR="0066706E" w:rsidRPr="00C9475F" w:rsidRDefault="0066706E" w:rsidP="0066706E">
      <w:pPr>
        <w:pStyle w:val="ListParagraph"/>
        <w:spacing w:after="0"/>
        <w:jc w:val="both"/>
        <w:rPr>
          <w:rFonts w:cs="Arial"/>
          <w:sz w:val="24"/>
          <w:szCs w:val="24"/>
        </w:rPr>
      </w:pPr>
    </w:p>
    <w:p w:rsidR="0066706E" w:rsidRPr="00C9475F" w:rsidRDefault="0066706E" w:rsidP="0066706E">
      <w:pPr>
        <w:pStyle w:val="ListParagraph"/>
        <w:numPr>
          <w:ilvl w:val="0"/>
          <w:numId w:val="1"/>
        </w:numPr>
        <w:spacing w:after="0"/>
        <w:jc w:val="both"/>
        <w:rPr>
          <w:rFonts w:cs="Arial"/>
          <w:sz w:val="24"/>
          <w:szCs w:val="24"/>
        </w:rPr>
      </w:pPr>
      <w:r w:rsidRPr="00C9475F">
        <w:rPr>
          <w:rFonts w:cs="Arial"/>
          <w:sz w:val="24"/>
          <w:szCs w:val="24"/>
        </w:rPr>
        <w:t>Проценка на ризиците на кои е изложена Банката, за потребите на Планот за работа на Службата за внатрешна ревизија за 2015 година.</w:t>
      </w:r>
    </w:p>
    <w:p w:rsidR="0066706E" w:rsidRPr="00C9475F" w:rsidRDefault="0066706E" w:rsidP="0066706E">
      <w:pPr>
        <w:pStyle w:val="ListParagraph"/>
        <w:spacing w:after="0"/>
        <w:jc w:val="both"/>
        <w:rPr>
          <w:rFonts w:cs="Arial"/>
          <w:sz w:val="24"/>
          <w:szCs w:val="24"/>
        </w:rPr>
      </w:pPr>
    </w:p>
    <w:p w:rsidR="0066706E" w:rsidRPr="00C9475F" w:rsidRDefault="0066706E" w:rsidP="0066706E">
      <w:pPr>
        <w:pStyle w:val="ListParagraph"/>
        <w:numPr>
          <w:ilvl w:val="0"/>
          <w:numId w:val="1"/>
        </w:numPr>
        <w:spacing w:after="0"/>
        <w:jc w:val="both"/>
        <w:rPr>
          <w:rFonts w:cs="Arial"/>
          <w:sz w:val="24"/>
          <w:szCs w:val="24"/>
        </w:rPr>
      </w:pPr>
      <w:r w:rsidRPr="00C9475F">
        <w:rPr>
          <w:rFonts w:cs="Arial"/>
          <w:sz w:val="24"/>
          <w:szCs w:val="24"/>
        </w:rPr>
        <w:t>Изготвување на Годишен план за активностите на Службата за внатрешна ревизија за 2015 година</w:t>
      </w:r>
      <w:r>
        <w:rPr>
          <w:rFonts w:cs="Arial"/>
          <w:sz w:val="24"/>
          <w:szCs w:val="24"/>
        </w:rPr>
        <w:t>, како и ревидирање на истиот по истекот на првата половина од 2015.</w:t>
      </w:r>
    </w:p>
    <w:p w:rsidR="0066706E" w:rsidRPr="00C9475F" w:rsidRDefault="0066706E" w:rsidP="0066706E">
      <w:pPr>
        <w:pStyle w:val="ListParagraph"/>
        <w:spacing w:after="0"/>
        <w:jc w:val="both"/>
        <w:rPr>
          <w:rFonts w:cs="Arial"/>
          <w:sz w:val="24"/>
          <w:szCs w:val="24"/>
        </w:rPr>
      </w:pPr>
    </w:p>
    <w:p w:rsidR="0066706E" w:rsidRPr="00C9475F" w:rsidRDefault="0066706E" w:rsidP="0066706E">
      <w:pPr>
        <w:pStyle w:val="ListParagraph"/>
        <w:numPr>
          <w:ilvl w:val="0"/>
          <w:numId w:val="1"/>
        </w:numPr>
        <w:spacing w:after="0"/>
        <w:jc w:val="both"/>
        <w:rPr>
          <w:rFonts w:cs="Arial"/>
          <w:sz w:val="24"/>
          <w:szCs w:val="24"/>
        </w:rPr>
      </w:pPr>
      <w:r w:rsidRPr="00C9475F">
        <w:rPr>
          <w:rFonts w:cs="Arial"/>
          <w:sz w:val="24"/>
          <w:szCs w:val="24"/>
        </w:rPr>
        <w:t>Службата за внатрешна ревизија вршеше редовни консултативни активности и даваше мислење и препораки кон одредени прашања од оперативното работење на одделни организациони единици.</w:t>
      </w:r>
    </w:p>
    <w:p w:rsidR="0066706E" w:rsidRPr="00C9475F" w:rsidRDefault="0066706E" w:rsidP="0066706E">
      <w:pPr>
        <w:pStyle w:val="ListParagraph"/>
        <w:spacing w:after="0"/>
        <w:jc w:val="both"/>
        <w:rPr>
          <w:rFonts w:cs="Arial"/>
          <w:sz w:val="24"/>
          <w:szCs w:val="24"/>
        </w:rPr>
      </w:pPr>
    </w:p>
    <w:p w:rsidR="00CF60E6" w:rsidRPr="00DB479A" w:rsidRDefault="00CF60E6" w:rsidP="00CF60E6">
      <w:pPr>
        <w:pStyle w:val="ListParagraph"/>
        <w:numPr>
          <w:ilvl w:val="0"/>
          <w:numId w:val="1"/>
        </w:numPr>
        <w:spacing w:after="0"/>
        <w:jc w:val="both"/>
        <w:rPr>
          <w:rFonts w:cs="Arial"/>
          <w:sz w:val="24"/>
          <w:szCs w:val="24"/>
        </w:rPr>
      </w:pPr>
      <w:r w:rsidRPr="00C9475F">
        <w:rPr>
          <w:rFonts w:cs="Arial"/>
          <w:sz w:val="24"/>
          <w:szCs w:val="24"/>
        </w:rPr>
        <w:t>Службата за внатрешна ревизија активно беше вклучена во разгледување на</w:t>
      </w:r>
      <w:r>
        <w:rPr>
          <w:rFonts w:cs="Arial"/>
          <w:sz w:val="24"/>
          <w:szCs w:val="24"/>
        </w:rPr>
        <w:t xml:space="preserve"> новите продукти на Банката.</w:t>
      </w:r>
    </w:p>
    <w:p w:rsidR="00CF60E6" w:rsidRDefault="00CF60E6" w:rsidP="00CF60E6">
      <w:pPr>
        <w:pStyle w:val="ListParagraph"/>
        <w:spacing w:after="0"/>
        <w:jc w:val="both"/>
        <w:rPr>
          <w:rFonts w:cs="Arial"/>
          <w:sz w:val="24"/>
          <w:szCs w:val="24"/>
        </w:rPr>
      </w:pPr>
    </w:p>
    <w:p w:rsidR="0066706E" w:rsidRDefault="0066706E" w:rsidP="0066706E">
      <w:pPr>
        <w:pStyle w:val="ListParagraph"/>
        <w:numPr>
          <w:ilvl w:val="0"/>
          <w:numId w:val="1"/>
        </w:numPr>
        <w:spacing w:after="0"/>
        <w:jc w:val="both"/>
        <w:rPr>
          <w:rFonts w:cs="Arial"/>
          <w:sz w:val="24"/>
          <w:szCs w:val="24"/>
        </w:rPr>
      </w:pPr>
      <w:r w:rsidRPr="00C9475F">
        <w:rPr>
          <w:rFonts w:cs="Arial"/>
          <w:sz w:val="24"/>
          <w:szCs w:val="24"/>
        </w:rPr>
        <w:t>Службата за внатрешна ревизија активно беше вклучена во разгледување на нацрт интерни акти (политики и процедури) на оперативните организациони единици на Банката со свои коментари и забелешки кон доставените предлог-текстови.</w:t>
      </w:r>
    </w:p>
    <w:p w:rsidR="00CF60E6" w:rsidRPr="00CF60E6" w:rsidRDefault="00CF60E6" w:rsidP="00CF60E6">
      <w:pPr>
        <w:pStyle w:val="ListParagraph"/>
        <w:rPr>
          <w:rFonts w:cs="Arial"/>
          <w:sz w:val="24"/>
          <w:szCs w:val="24"/>
        </w:rPr>
      </w:pPr>
    </w:p>
    <w:p w:rsidR="00CF60E6" w:rsidRPr="00C9475F" w:rsidRDefault="00CF60E6" w:rsidP="00CF60E6">
      <w:pPr>
        <w:pStyle w:val="ListParagraph"/>
        <w:numPr>
          <w:ilvl w:val="0"/>
          <w:numId w:val="1"/>
        </w:numPr>
        <w:spacing w:after="0"/>
        <w:jc w:val="both"/>
        <w:rPr>
          <w:rFonts w:cs="Arial"/>
          <w:sz w:val="24"/>
          <w:szCs w:val="24"/>
        </w:rPr>
      </w:pPr>
      <w:r w:rsidRPr="00C9475F">
        <w:rPr>
          <w:rFonts w:cs="Arial"/>
          <w:sz w:val="24"/>
          <w:szCs w:val="24"/>
        </w:rPr>
        <w:t xml:space="preserve">Службата за внатрешна ревизија </w:t>
      </w:r>
      <w:r>
        <w:rPr>
          <w:rFonts w:cs="Arial"/>
          <w:sz w:val="24"/>
          <w:szCs w:val="24"/>
        </w:rPr>
        <w:t>посебно</w:t>
      </w:r>
      <w:r w:rsidRPr="00C9475F">
        <w:rPr>
          <w:rFonts w:cs="Arial"/>
          <w:sz w:val="24"/>
          <w:szCs w:val="24"/>
        </w:rPr>
        <w:t xml:space="preserve"> беше вклучена</w:t>
      </w:r>
      <w:r>
        <w:rPr>
          <w:rFonts w:cs="Arial"/>
          <w:sz w:val="24"/>
          <w:szCs w:val="24"/>
        </w:rPr>
        <w:t xml:space="preserve"> во ажурирањето на интерните акти на Одборот за ревизија и </w:t>
      </w:r>
      <w:r w:rsidRPr="00C9475F">
        <w:rPr>
          <w:rFonts w:cs="Arial"/>
          <w:sz w:val="24"/>
          <w:szCs w:val="24"/>
        </w:rPr>
        <w:t>Службата за внатрешна ревизија</w:t>
      </w:r>
      <w:r>
        <w:rPr>
          <w:rFonts w:cs="Arial"/>
          <w:sz w:val="24"/>
          <w:szCs w:val="24"/>
        </w:rPr>
        <w:t xml:space="preserve">, и ги ревидираше оние акти кои се во надлежност на </w:t>
      </w:r>
      <w:r w:rsidRPr="00C9475F">
        <w:rPr>
          <w:rFonts w:cs="Arial"/>
          <w:sz w:val="24"/>
          <w:szCs w:val="24"/>
        </w:rPr>
        <w:t>Службата</w:t>
      </w:r>
      <w:r>
        <w:rPr>
          <w:rFonts w:cs="Arial"/>
          <w:sz w:val="24"/>
          <w:szCs w:val="24"/>
        </w:rPr>
        <w:t xml:space="preserve"> во текот на 2015 година.</w:t>
      </w:r>
    </w:p>
    <w:p w:rsidR="00CF60E6" w:rsidRDefault="00CF60E6" w:rsidP="00CF60E6">
      <w:pPr>
        <w:pStyle w:val="ListParagraph"/>
        <w:spacing w:after="0"/>
        <w:jc w:val="both"/>
        <w:rPr>
          <w:rFonts w:cs="Arial"/>
          <w:sz w:val="24"/>
          <w:szCs w:val="24"/>
        </w:rPr>
      </w:pPr>
    </w:p>
    <w:p w:rsidR="0066706E" w:rsidRPr="00C9475F" w:rsidRDefault="0066706E" w:rsidP="0066706E">
      <w:pPr>
        <w:pStyle w:val="ListParagraph"/>
        <w:numPr>
          <w:ilvl w:val="0"/>
          <w:numId w:val="1"/>
        </w:numPr>
        <w:spacing w:after="0"/>
        <w:jc w:val="both"/>
        <w:rPr>
          <w:rFonts w:cs="Arial"/>
          <w:sz w:val="24"/>
          <w:szCs w:val="24"/>
        </w:rPr>
      </w:pPr>
      <w:r w:rsidRPr="00C9475F">
        <w:rPr>
          <w:rFonts w:cs="Arial"/>
          <w:sz w:val="24"/>
          <w:szCs w:val="24"/>
        </w:rPr>
        <w:t>Во текот на 2015 година, раководителот на Службата за внатрешна ревизија ги организираше редовните седници на Одбор за ревизија,  беше присутен на сите одржани седници како записничар и изготвувач на Записниците од истите.</w:t>
      </w:r>
    </w:p>
    <w:p w:rsidR="0066706E" w:rsidRPr="00C9475F" w:rsidRDefault="0066706E" w:rsidP="0066706E">
      <w:pPr>
        <w:pStyle w:val="ListParagraph"/>
        <w:spacing w:after="0"/>
        <w:rPr>
          <w:rFonts w:cs="Arial"/>
          <w:sz w:val="24"/>
          <w:szCs w:val="24"/>
        </w:rPr>
      </w:pPr>
    </w:p>
    <w:p w:rsidR="0066706E" w:rsidRPr="00C9475F" w:rsidRDefault="0066706E" w:rsidP="0066706E">
      <w:pPr>
        <w:pStyle w:val="ListParagraph"/>
        <w:numPr>
          <w:ilvl w:val="0"/>
          <w:numId w:val="1"/>
        </w:numPr>
        <w:spacing w:after="0"/>
        <w:jc w:val="both"/>
        <w:rPr>
          <w:rFonts w:cs="Arial"/>
          <w:sz w:val="24"/>
          <w:szCs w:val="24"/>
        </w:rPr>
      </w:pPr>
      <w:r w:rsidRPr="00C9475F">
        <w:rPr>
          <w:rFonts w:cs="Arial"/>
          <w:sz w:val="24"/>
          <w:szCs w:val="24"/>
        </w:rPr>
        <w:t xml:space="preserve">Службата за внатрешна ревизија редовно, на месечно ниво, ги разгледува Извештаите за работењето на Одбор за управување со ризици за претходните месеци, поднесени од Одбор за управување со ризици. </w:t>
      </w:r>
    </w:p>
    <w:p w:rsidR="0066706E" w:rsidRPr="00C9475F" w:rsidRDefault="0066706E" w:rsidP="0066706E">
      <w:pPr>
        <w:pStyle w:val="ListParagraph"/>
        <w:spacing w:after="0"/>
        <w:rPr>
          <w:rFonts w:cs="Arial"/>
          <w:sz w:val="24"/>
          <w:szCs w:val="24"/>
        </w:rPr>
      </w:pPr>
    </w:p>
    <w:p w:rsidR="0066706E" w:rsidRPr="00C9475F" w:rsidRDefault="0066706E" w:rsidP="0066706E">
      <w:pPr>
        <w:pStyle w:val="ListParagraph"/>
        <w:numPr>
          <w:ilvl w:val="0"/>
          <w:numId w:val="1"/>
        </w:numPr>
        <w:spacing w:after="0"/>
        <w:jc w:val="both"/>
        <w:rPr>
          <w:rFonts w:cs="Arial"/>
          <w:sz w:val="24"/>
          <w:szCs w:val="24"/>
        </w:rPr>
      </w:pPr>
      <w:r w:rsidRPr="00C9475F">
        <w:rPr>
          <w:rFonts w:cs="Arial"/>
          <w:sz w:val="24"/>
          <w:szCs w:val="24"/>
        </w:rPr>
        <w:t xml:space="preserve">Понатаму, Службата за внатрешна ревизија редовно, на месечно ниво, ги проверува финансиските извештаи на Банката изготвени од ОЕ за известување и сметководство. </w:t>
      </w:r>
      <w:r>
        <w:rPr>
          <w:rFonts w:cs="Arial"/>
          <w:sz w:val="24"/>
          <w:szCs w:val="24"/>
        </w:rPr>
        <w:t>Во текот на</w:t>
      </w:r>
      <w:r w:rsidRPr="00C9475F">
        <w:rPr>
          <w:rFonts w:cs="Arial"/>
          <w:sz w:val="24"/>
          <w:szCs w:val="24"/>
        </w:rPr>
        <w:t xml:space="preserve"> 2015 година не беа најдени материјално значајни погрешни прикажувања, односно беше утврдено дека сите приходи и расходи се прокнижени во правилниот период. За оние расходи за кои не се добиени фактури, е прокнижен планиран трошок, вклучително и за фактурите кои се добиваат на квартално ниво. </w:t>
      </w:r>
    </w:p>
    <w:p w:rsidR="0066706E" w:rsidRPr="00C9475F" w:rsidRDefault="0066706E" w:rsidP="0066706E">
      <w:pPr>
        <w:pStyle w:val="ListParagraph"/>
        <w:autoSpaceDE w:val="0"/>
        <w:autoSpaceDN w:val="0"/>
        <w:adjustRightInd w:val="0"/>
        <w:spacing w:after="0" w:line="240" w:lineRule="auto"/>
        <w:jc w:val="both"/>
        <w:rPr>
          <w:rFonts w:cs="Arial"/>
          <w:sz w:val="24"/>
          <w:szCs w:val="24"/>
        </w:rPr>
      </w:pPr>
    </w:p>
    <w:p w:rsidR="0066706E" w:rsidRPr="00C9475F" w:rsidRDefault="0066706E" w:rsidP="0066706E">
      <w:pPr>
        <w:pStyle w:val="ListParagraph"/>
        <w:numPr>
          <w:ilvl w:val="0"/>
          <w:numId w:val="1"/>
        </w:numPr>
        <w:spacing w:after="0"/>
        <w:jc w:val="both"/>
        <w:rPr>
          <w:rFonts w:cs="Arial"/>
          <w:sz w:val="24"/>
          <w:szCs w:val="24"/>
        </w:rPr>
      </w:pPr>
      <w:r w:rsidRPr="00C9475F">
        <w:rPr>
          <w:rFonts w:cs="Arial"/>
          <w:sz w:val="24"/>
          <w:szCs w:val="24"/>
        </w:rPr>
        <w:t>Исто така, Службата за внатрешна ревизија го разгледува и статусот на почитување на препораките дадени од страна на Службата до Секторите, Одделенијата и Службите на Банката, пред секоја седница на Одбор за ревизија.</w:t>
      </w:r>
    </w:p>
    <w:p w:rsidR="0066706E" w:rsidRPr="00C9475F" w:rsidRDefault="0066706E" w:rsidP="0066706E">
      <w:pPr>
        <w:pStyle w:val="ListParagraph"/>
        <w:spacing w:after="0"/>
        <w:rPr>
          <w:rFonts w:cs="Arial"/>
          <w:sz w:val="24"/>
          <w:szCs w:val="24"/>
        </w:rPr>
      </w:pPr>
    </w:p>
    <w:p w:rsidR="0066706E" w:rsidRPr="00C9475F" w:rsidRDefault="0066706E" w:rsidP="0066706E">
      <w:pPr>
        <w:pStyle w:val="ListParagraph"/>
        <w:numPr>
          <w:ilvl w:val="0"/>
          <w:numId w:val="1"/>
        </w:numPr>
        <w:spacing w:after="0"/>
        <w:jc w:val="both"/>
        <w:rPr>
          <w:rFonts w:cs="Arial"/>
          <w:sz w:val="24"/>
          <w:szCs w:val="24"/>
        </w:rPr>
      </w:pPr>
      <w:r w:rsidRPr="00C9475F">
        <w:rPr>
          <w:rFonts w:cs="Arial"/>
          <w:sz w:val="24"/>
          <w:szCs w:val="24"/>
        </w:rPr>
        <w:t xml:space="preserve">Раководителот на Службата за внатрешна ревизија беше назначен за претседател на Централна пописна комисија на Банката за пописот на крајот на 2014 </w:t>
      </w:r>
      <w:r w:rsidR="00417A89">
        <w:rPr>
          <w:rFonts w:cs="Arial"/>
          <w:sz w:val="24"/>
          <w:szCs w:val="24"/>
        </w:rPr>
        <w:t xml:space="preserve">и 2015 </w:t>
      </w:r>
      <w:r w:rsidRPr="00C9475F">
        <w:rPr>
          <w:rFonts w:cs="Arial"/>
          <w:sz w:val="24"/>
          <w:szCs w:val="24"/>
        </w:rPr>
        <w:t xml:space="preserve">година и </w:t>
      </w:r>
      <w:r w:rsidR="00417A89">
        <w:rPr>
          <w:rFonts w:cs="Arial"/>
          <w:sz w:val="24"/>
          <w:szCs w:val="24"/>
        </w:rPr>
        <w:t>ја</w:t>
      </w:r>
      <w:r w:rsidRPr="00C9475F">
        <w:rPr>
          <w:rFonts w:cs="Arial"/>
          <w:sz w:val="24"/>
          <w:szCs w:val="24"/>
        </w:rPr>
        <w:t xml:space="preserve"> извршуваше </w:t>
      </w:r>
      <w:r w:rsidR="00417A89">
        <w:rPr>
          <w:rFonts w:cs="Arial"/>
          <w:sz w:val="24"/>
          <w:szCs w:val="24"/>
        </w:rPr>
        <w:t>таа</w:t>
      </w:r>
      <w:r w:rsidRPr="00C9475F">
        <w:rPr>
          <w:rFonts w:cs="Arial"/>
          <w:sz w:val="24"/>
          <w:szCs w:val="24"/>
        </w:rPr>
        <w:t xml:space="preserve"> должност во текот на</w:t>
      </w:r>
      <w:r w:rsidR="00417A89">
        <w:rPr>
          <w:rFonts w:cs="Arial"/>
          <w:sz w:val="24"/>
          <w:szCs w:val="24"/>
        </w:rPr>
        <w:t xml:space="preserve"> јануари и февруари 2015 година, како и во декември 2015 година.</w:t>
      </w:r>
    </w:p>
    <w:p w:rsidR="0066706E" w:rsidRPr="00C9475F" w:rsidRDefault="0066706E" w:rsidP="0066706E">
      <w:pPr>
        <w:pStyle w:val="ListParagraph"/>
        <w:spacing w:after="0"/>
        <w:jc w:val="both"/>
        <w:rPr>
          <w:rFonts w:cs="Arial"/>
          <w:sz w:val="24"/>
          <w:szCs w:val="24"/>
        </w:rPr>
      </w:pPr>
    </w:p>
    <w:p w:rsidR="0066706E" w:rsidRPr="00C9475F" w:rsidRDefault="0066706E" w:rsidP="0066706E">
      <w:pPr>
        <w:pStyle w:val="ListParagraph"/>
        <w:numPr>
          <w:ilvl w:val="0"/>
          <w:numId w:val="1"/>
        </w:numPr>
        <w:spacing w:after="0"/>
        <w:jc w:val="both"/>
        <w:rPr>
          <w:rFonts w:cs="Arial"/>
          <w:sz w:val="24"/>
          <w:szCs w:val="24"/>
        </w:rPr>
      </w:pPr>
      <w:r w:rsidRPr="00C9475F">
        <w:rPr>
          <w:rFonts w:cs="Arial"/>
          <w:sz w:val="24"/>
          <w:szCs w:val="24"/>
        </w:rPr>
        <w:t>Понатаму, раководителот на Службата за внатрешна ревизија ја извршуваше улогата на контакт лице за време на надворешната ревизија од страна на надворешните ревизори на Банката Грант Торнтон ДОО Скопје.</w:t>
      </w:r>
    </w:p>
    <w:p w:rsidR="0066706E" w:rsidRPr="00C9475F" w:rsidRDefault="0066706E" w:rsidP="0066706E">
      <w:pPr>
        <w:pStyle w:val="ListParagraph"/>
        <w:spacing w:after="0"/>
        <w:rPr>
          <w:rFonts w:cs="Arial"/>
          <w:sz w:val="24"/>
          <w:szCs w:val="24"/>
        </w:rPr>
      </w:pPr>
    </w:p>
    <w:p w:rsidR="0066706E" w:rsidRPr="00C9475F" w:rsidRDefault="0066706E" w:rsidP="0066706E">
      <w:pPr>
        <w:pStyle w:val="ListParagraph"/>
        <w:numPr>
          <w:ilvl w:val="0"/>
          <w:numId w:val="1"/>
        </w:numPr>
        <w:spacing w:after="0"/>
        <w:jc w:val="both"/>
        <w:rPr>
          <w:rFonts w:cs="Arial"/>
          <w:sz w:val="24"/>
          <w:szCs w:val="24"/>
        </w:rPr>
      </w:pPr>
      <w:r w:rsidRPr="00C9475F">
        <w:rPr>
          <w:rFonts w:cs="Arial"/>
          <w:sz w:val="24"/>
          <w:szCs w:val="24"/>
        </w:rPr>
        <w:t>Раководителот на Службата за внатрешна ревизија ја извршуваше улогата на контакт лице при прибирањето на понудите за надворешна ревизија за годината што завршува на 31.12.2015, и при преговорите со надворешните ревизори.</w:t>
      </w:r>
    </w:p>
    <w:p w:rsidR="00753078" w:rsidRPr="006B7092" w:rsidRDefault="00753078" w:rsidP="006B7092">
      <w:pPr>
        <w:spacing w:after="0"/>
        <w:jc w:val="both"/>
        <w:rPr>
          <w:rFonts w:cs="Arial"/>
          <w:sz w:val="24"/>
          <w:szCs w:val="24"/>
        </w:rPr>
      </w:pPr>
    </w:p>
    <w:p w:rsidR="00F14A28" w:rsidRPr="007F4600" w:rsidRDefault="00F14A28" w:rsidP="006B7092">
      <w:pPr>
        <w:spacing w:after="0"/>
        <w:jc w:val="both"/>
        <w:rPr>
          <w:rFonts w:cs="Arial"/>
          <w:b/>
          <w:i/>
          <w:sz w:val="24"/>
          <w:szCs w:val="24"/>
        </w:rPr>
      </w:pPr>
      <w:r w:rsidRPr="007F4600">
        <w:rPr>
          <w:rFonts w:cs="Arial"/>
          <w:b/>
          <w:i/>
          <w:sz w:val="24"/>
          <w:szCs w:val="24"/>
        </w:rPr>
        <w:t xml:space="preserve">Обуки: </w:t>
      </w:r>
    </w:p>
    <w:p w:rsidR="00F14A28" w:rsidRPr="006B7092" w:rsidRDefault="00F14A28" w:rsidP="006B7092">
      <w:pPr>
        <w:spacing w:after="0"/>
        <w:jc w:val="both"/>
        <w:rPr>
          <w:rFonts w:cs="Arial"/>
          <w:sz w:val="24"/>
          <w:szCs w:val="24"/>
        </w:rPr>
      </w:pPr>
    </w:p>
    <w:p w:rsidR="00F14A28" w:rsidRDefault="00F14A28" w:rsidP="006B7092">
      <w:pPr>
        <w:spacing w:after="0"/>
        <w:jc w:val="both"/>
        <w:rPr>
          <w:rFonts w:cs="Arial"/>
          <w:sz w:val="24"/>
          <w:szCs w:val="24"/>
        </w:rPr>
      </w:pPr>
      <w:r w:rsidRPr="006B7092">
        <w:rPr>
          <w:rFonts w:cs="Arial"/>
          <w:sz w:val="24"/>
          <w:szCs w:val="24"/>
        </w:rPr>
        <w:t>Во текот на 201</w:t>
      </w:r>
      <w:r w:rsidR="00804949">
        <w:rPr>
          <w:rFonts w:cs="Arial"/>
          <w:sz w:val="24"/>
          <w:szCs w:val="24"/>
        </w:rPr>
        <w:t>5</w:t>
      </w:r>
      <w:r w:rsidRPr="006B7092">
        <w:rPr>
          <w:rFonts w:cs="Arial"/>
          <w:sz w:val="24"/>
          <w:szCs w:val="24"/>
        </w:rPr>
        <w:t xml:space="preserve"> година, овластениот ревизор на Банката присуствуваше на </w:t>
      </w:r>
      <w:r w:rsidR="00554A66" w:rsidRPr="006B7092">
        <w:rPr>
          <w:rFonts w:cs="Arial"/>
          <w:sz w:val="24"/>
          <w:szCs w:val="24"/>
        </w:rPr>
        <w:t>шестдневна</w:t>
      </w:r>
      <w:r w:rsidRPr="006B7092">
        <w:rPr>
          <w:rFonts w:cs="Arial"/>
          <w:sz w:val="24"/>
          <w:szCs w:val="24"/>
        </w:rPr>
        <w:t xml:space="preserve"> обука во вкупно траење од </w:t>
      </w:r>
      <w:r w:rsidR="0052799E" w:rsidRPr="006B7092">
        <w:rPr>
          <w:rFonts w:cs="Arial"/>
          <w:sz w:val="24"/>
          <w:szCs w:val="24"/>
        </w:rPr>
        <w:t>48</w:t>
      </w:r>
      <w:r w:rsidRPr="006B7092">
        <w:rPr>
          <w:rFonts w:cs="Arial"/>
          <w:sz w:val="24"/>
          <w:szCs w:val="24"/>
        </w:rPr>
        <w:t xml:space="preserve"> часа од Програмата за континуирано професионално усовршување организирана од страна на Институтот за овластени ревизори на РМ (ИОРРМ) на следните теми:</w:t>
      </w:r>
    </w:p>
    <w:p w:rsidR="002E732E" w:rsidRPr="006B7092" w:rsidRDefault="002E732E" w:rsidP="00C70787">
      <w:pPr>
        <w:spacing w:after="0"/>
        <w:jc w:val="both"/>
        <w:rPr>
          <w:rFonts w:cs="Arial"/>
          <w:sz w:val="24"/>
          <w:szCs w:val="24"/>
        </w:rPr>
      </w:pPr>
    </w:p>
    <w:p w:rsidR="002E732E" w:rsidRPr="00C9475F" w:rsidRDefault="002E732E" w:rsidP="00C70787">
      <w:pPr>
        <w:numPr>
          <w:ilvl w:val="1"/>
          <w:numId w:val="1"/>
        </w:numPr>
        <w:spacing w:after="0" w:line="240" w:lineRule="auto"/>
        <w:ind w:left="1434" w:hanging="357"/>
        <w:rPr>
          <w:rFonts w:cs="Arial"/>
          <w:sz w:val="24"/>
          <w:szCs w:val="24"/>
        </w:rPr>
      </w:pPr>
      <w:r w:rsidRPr="00C9475F">
        <w:rPr>
          <w:sz w:val="24"/>
          <w:szCs w:val="24"/>
        </w:rPr>
        <w:t>Надлежност/и на Агенцијата за супервизија на осигурувањето во делот на спроведување на континуирана вонтеренска супервизија на работењето на друштвата за осигурување.</w:t>
      </w:r>
    </w:p>
    <w:p w:rsidR="002E732E" w:rsidRPr="00C9475F" w:rsidRDefault="002E732E" w:rsidP="00C70787">
      <w:pPr>
        <w:spacing w:after="0" w:line="240" w:lineRule="auto"/>
        <w:ind w:left="1434"/>
        <w:rPr>
          <w:rFonts w:cs="Arial"/>
          <w:sz w:val="24"/>
          <w:szCs w:val="24"/>
        </w:rPr>
      </w:pPr>
    </w:p>
    <w:p w:rsidR="002E732E" w:rsidRPr="00C9475F" w:rsidRDefault="002E732E" w:rsidP="00C70787">
      <w:pPr>
        <w:numPr>
          <w:ilvl w:val="1"/>
          <w:numId w:val="1"/>
        </w:numPr>
        <w:spacing w:after="0" w:line="240" w:lineRule="auto"/>
        <w:ind w:left="1434" w:hanging="357"/>
        <w:rPr>
          <w:rFonts w:cs="Arial"/>
          <w:sz w:val="24"/>
          <w:szCs w:val="24"/>
        </w:rPr>
      </w:pPr>
      <w:r w:rsidRPr="00C9475F">
        <w:rPr>
          <w:sz w:val="24"/>
          <w:szCs w:val="24"/>
        </w:rPr>
        <w:t xml:space="preserve">Постапки на супервизорски надзор: </w:t>
      </w:r>
      <w:r w:rsidRPr="00C9475F">
        <w:rPr>
          <w:sz w:val="24"/>
          <w:szCs w:val="24"/>
        </w:rPr>
        <w:br/>
        <w:t>Супервизорски информатички систем АСО СИС.</w:t>
      </w:r>
    </w:p>
    <w:p w:rsidR="002E732E" w:rsidRPr="00C9475F" w:rsidRDefault="002E732E" w:rsidP="00C70787">
      <w:pPr>
        <w:pStyle w:val="ListParagraph"/>
        <w:spacing w:after="0"/>
        <w:rPr>
          <w:rFonts w:cs="Arial"/>
          <w:sz w:val="24"/>
          <w:szCs w:val="24"/>
        </w:rPr>
      </w:pPr>
    </w:p>
    <w:p w:rsidR="002E732E" w:rsidRPr="00C9475F" w:rsidRDefault="002E732E" w:rsidP="00C70787">
      <w:pPr>
        <w:numPr>
          <w:ilvl w:val="1"/>
          <w:numId w:val="1"/>
        </w:numPr>
        <w:spacing w:after="0" w:line="240" w:lineRule="auto"/>
        <w:ind w:left="1434" w:hanging="357"/>
        <w:rPr>
          <w:rFonts w:cs="Arial"/>
          <w:sz w:val="24"/>
          <w:szCs w:val="24"/>
        </w:rPr>
      </w:pPr>
      <w:r w:rsidRPr="00C9475F">
        <w:rPr>
          <w:sz w:val="24"/>
          <w:szCs w:val="24"/>
        </w:rPr>
        <w:lastRenderedPageBreak/>
        <w:t>МСФИ 4 - Договори за осигурување.</w:t>
      </w:r>
    </w:p>
    <w:p w:rsidR="002E732E" w:rsidRPr="00C9475F" w:rsidRDefault="002E732E" w:rsidP="00C70787">
      <w:pPr>
        <w:pStyle w:val="ListParagraph"/>
        <w:spacing w:after="0"/>
        <w:rPr>
          <w:rFonts w:cs="Arial"/>
          <w:sz w:val="24"/>
          <w:szCs w:val="24"/>
        </w:rPr>
      </w:pPr>
    </w:p>
    <w:p w:rsidR="002E732E" w:rsidRPr="00C9475F" w:rsidRDefault="002E732E" w:rsidP="00C70787">
      <w:pPr>
        <w:numPr>
          <w:ilvl w:val="1"/>
          <w:numId w:val="1"/>
        </w:numPr>
        <w:spacing w:after="0" w:line="240" w:lineRule="auto"/>
        <w:ind w:left="1434" w:hanging="357"/>
        <w:rPr>
          <w:rFonts w:cs="Arial"/>
          <w:sz w:val="24"/>
          <w:szCs w:val="24"/>
        </w:rPr>
      </w:pPr>
      <w:r w:rsidRPr="00C9475F">
        <w:rPr>
          <w:sz w:val="24"/>
          <w:szCs w:val="24"/>
        </w:rPr>
        <w:t>МСФИ 15 - Приходи</w:t>
      </w:r>
      <w:r w:rsidRPr="00C9475F">
        <w:rPr>
          <w:sz w:val="24"/>
          <w:szCs w:val="24"/>
        </w:rPr>
        <w:br/>
        <w:t>Обработка на барањата на стандардот, вклучувајќи: признавање, мерење и обелоденување (теоретски дел); Практични примери; Студија на случај.</w:t>
      </w:r>
    </w:p>
    <w:p w:rsidR="002E732E" w:rsidRPr="00C9475F" w:rsidRDefault="002E732E" w:rsidP="00C70787">
      <w:pPr>
        <w:pStyle w:val="ListParagraph"/>
        <w:spacing w:after="0"/>
        <w:rPr>
          <w:rFonts w:cs="Arial"/>
          <w:sz w:val="24"/>
          <w:szCs w:val="24"/>
        </w:rPr>
      </w:pPr>
    </w:p>
    <w:p w:rsidR="002E732E" w:rsidRPr="00C9475F" w:rsidRDefault="002E732E" w:rsidP="00C70787">
      <w:pPr>
        <w:numPr>
          <w:ilvl w:val="1"/>
          <w:numId w:val="1"/>
        </w:numPr>
        <w:spacing w:after="0" w:line="240" w:lineRule="auto"/>
        <w:ind w:left="1434" w:hanging="357"/>
        <w:rPr>
          <w:rFonts w:cs="Arial"/>
          <w:sz w:val="24"/>
          <w:szCs w:val="24"/>
        </w:rPr>
      </w:pPr>
      <w:r w:rsidRPr="00C9475F">
        <w:rPr>
          <w:sz w:val="24"/>
          <w:szCs w:val="24"/>
        </w:rPr>
        <w:t>Резултати од спроведените проверки на контролата на квалитет во 2014 година.</w:t>
      </w:r>
    </w:p>
    <w:p w:rsidR="002E732E" w:rsidRPr="00C9475F" w:rsidRDefault="002E732E" w:rsidP="00C70787">
      <w:pPr>
        <w:pStyle w:val="ListParagraph"/>
        <w:spacing w:after="0"/>
        <w:rPr>
          <w:rFonts w:cs="Arial"/>
          <w:sz w:val="24"/>
          <w:szCs w:val="24"/>
        </w:rPr>
      </w:pPr>
    </w:p>
    <w:p w:rsidR="002E732E" w:rsidRPr="00C9475F" w:rsidRDefault="002E732E" w:rsidP="00C70787">
      <w:pPr>
        <w:numPr>
          <w:ilvl w:val="1"/>
          <w:numId w:val="1"/>
        </w:numPr>
        <w:spacing w:after="0" w:line="240" w:lineRule="auto"/>
        <w:ind w:left="1434" w:hanging="357"/>
        <w:rPr>
          <w:rFonts w:cs="Arial"/>
          <w:sz w:val="24"/>
          <w:szCs w:val="24"/>
        </w:rPr>
      </w:pPr>
      <w:r w:rsidRPr="00C9475F">
        <w:rPr>
          <w:sz w:val="24"/>
          <w:szCs w:val="24"/>
        </w:rPr>
        <w:t>МСС 2 Залихи</w:t>
      </w:r>
      <w:r w:rsidRPr="00C9475F">
        <w:rPr>
          <w:sz w:val="24"/>
          <w:szCs w:val="24"/>
        </w:rPr>
        <w:br/>
        <w:t>Обработка на барањата на стандардот, вклучувајќи: признавање, мерење и обелоденување (теоретски дел); Практични примери; Студија на случај.</w:t>
      </w:r>
    </w:p>
    <w:p w:rsidR="002E732E" w:rsidRPr="00C9475F" w:rsidRDefault="002E732E" w:rsidP="00C70787">
      <w:pPr>
        <w:pStyle w:val="ListParagraph"/>
        <w:spacing w:after="0"/>
        <w:rPr>
          <w:rFonts w:cs="Arial"/>
          <w:sz w:val="24"/>
          <w:szCs w:val="24"/>
        </w:rPr>
      </w:pPr>
    </w:p>
    <w:p w:rsidR="002E732E" w:rsidRPr="00C9475F" w:rsidRDefault="002E732E" w:rsidP="00C70787">
      <w:pPr>
        <w:numPr>
          <w:ilvl w:val="1"/>
          <w:numId w:val="1"/>
        </w:numPr>
        <w:spacing w:after="0" w:line="240" w:lineRule="auto"/>
        <w:ind w:left="1434" w:hanging="357"/>
        <w:rPr>
          <w:rFonts w:cs="Arial"/>
          <w:sz w:val="24"/>
          <w:szCs w:val="24"/>
        </w:rPr>
      </w:pPr>
      <w:r w:rsidRPr="00C9475F">
        <w:rPr>
          <w:sz w:val="24"/>
          <w:szCs w:val="24"/>
        </w:rPr>
        <w:t>МСС 36 - Обезвреднување на средства</w:t>
      </w:r>
      <w:r w:rsidRPr="00C9475F">
        <w:rPr>
          <w:sz w:val="24"/>
          <w:szCs w:val="24"/>
        </w:rPr>
        <w:br/>
        <w:t>Обработка на барањата на стандардот, вклучувајќи: признавање, мерење и обелоденување (теоретски дел); Практични примери; Студија на случај.</w:t>
      </w:r>
    </w:p>
    <w:p w:rsidR="002E732E" w:rsidRPr="00C9475F" w:rsidRDefault="002E732E" w:rsidP="00C70787">
      <w:pPr>
        <w:pStyle w:val="ListParagraph"/>
        <w:spacing w:after="0"/>
        <w:rPr>
          <w:rFonts w:cs="Arial"/>
          <w:sz w:val="24"/>
          <w:szCs w:val="24"/>
        </w:rPr>
      </w:pPr>
    </w:p>
    <w:p w:rsidR="002E732E" w:rsidRPr="00C9475F" w:rsidRDefault="002E732E" w:rsidP="00C70787">
      <w:pPr>
        <w:numPr>
          <w:ilvl w:val="1"/>
          <w:numId w:val="1"/>
        </w:numPr>
        <w:spacing w:after="0" w:line="240" w:lineRule="auto"/>
        <w:ind w:left="1434" w:hanging="357"/>
        <w:rPr>
          <w:rFonts w:cs="Arial"/>
          <w:sz w:val="24"/>
          <w:szCs w:val="24"/>
        </w:rPr>
      </w:pPr>
      <w:r w:rsidRPr="00C9475F">
        <w:rPr>
          <w:sz w:val="24"/>
          <w:szCs w:val="24"/>
        </w:rPr>
        <w:t>Теоретски основи со осврт на практични примери:</w:t>
      </w:r>
      <w:r w:rsidRPr="00C9475F">
        <w:rPr>
          <w:sz w:val="24"/>
          <w:szCs w:val="24"/>
        </w:rPr>
        <w:br/>
        <w:t>МСР 700 - Формирање на мислење и известување за финансиските извештаи</w:t>
      </w:r>
      <w:r w:rsidRPr="00C9475F">
        <w:rPr>
          <w:sz w:val="24"/>
          <w:szCs w:val="24"/>
        </w:rPr>
        <w:br/>
        <w:t>МСР 701- Комуницирање на клучните ревизорски прашања во извештајот на независниот ревизор</w:t>
      </w:r>
      <w:r w:rsidRPr="00C9475F">
        <w:rPr>
          <w:sz w:val="24"/>
          <w:szCs w:val="24"/>
        </w:rPr>
        <w:br/>
        <w:t>МСР 705 - Модификации на милењето во извештајот на независниот ревизор</w:t>
      </w:r>
      <w:r w:rsidRPr="00C9475F">
        <w:rPr>
          <w:sz w:val="24"/>
          <w:szCs w:val="24"/>
        </w:rPr>
        <w:br/>
        <w:t>МСР 706 - Пасуси за нагласување на прашање и пасуси за други прашања во извештајот на независниот ревизор.</w:t>
      </w:r>
    </w:p>
    <w:p w:rsidR="002E732E" w:rsidRPr="00C9475F" w:rsidRDefault="002E732E" w:rsidP="00C70787">
      <w:pPr>
        <w:pStyle w:val="ListParagraph"/>
        <w:spacing w:after="0"/>
        <w:rPr>
          <w:rFonts w:cs="Arial"/>
          <w:sz w:val="24"/>
          <w:szCs w:val="24"/>
        </w:rPr>
      </w:pPr>
    </w:p>
    <w:p w:rsidR="002E732E" w:rsidRPr="00C9475F" w:rsidRDefault="002E732E" w:rsidP="00C70787">
      <w:pPr>
        <w:numPr>
          <w:ilvl w:val="1"/>
          <w:numId w:val="1"/>
        </w:numPr>
        <w:spacing w:after="0" w:line="240" w:lineRule="auto"/>
        <w:ind w:left="1434" w:hanging="357"/>
        <w:rPr>
          <w:rFonts w:cs="Arial"/>
          <w:sz w:val="24"/>
          <w:szCs w:val="24"/>
        </w:rPr>
      </w:pPr>
      <w:r w:rsidRPr="00C9475F">
        <w:rPr>
          <w:sz w:val="24"/>
          <w:szCs w:val="24"/>
        </w:rPr>
        <w:t>Договорот за вработување наспроти менаџерскиот договор.</w:t>
      </w:r>
    </w:p>
    <w:p w:rsidR="002E732E" w:rsidRPr="00C9475F" w:rsidRDefault="002E732E" w:rsidP="00C70787">
      <w:pPr>
        <w:pStyle w:val="ListParagraph"/>
        <w:spacing w:after="0"/>
        <w:rPr>
          <w:rFonts w:cs="Arial"/>
          <w:sz w:val="24"/>
          <w:szCs w:val="24"/>
        </w:rPr>
      </w:pPr>
    </w:p>
    <w:p w:rsidR="002E732E" w:rsidRPr="00C9475F" w:rsidRDefault="002E732E" w:rsidP="00C70787">
      <w:pPr>
        <w:numPr>
          <w:ilvl w:val="1"/>
          <w:numId w:val="1"/>
        </w:numPr>
        <w:spacing w:after="0" w:line="240" w:lineRule="auto"/>
        <w:ind w:left="1434" w:hanging="357"/>
        <w:rPr>
          <w:rFonts w:cs="Arial"/>
          <w:sz w:val="24"/>
          <w:szCs w:val="24"/>
        </w:rPr>
      </w:pPr>
      <w:r w:rsidRPr="00C9475F">
        <w:rPr>
          <w:sz w:val="24"/>
          <w:szCs w:val="24"/>
        </w:rPr>
        <w:t>Одговорноста на менаџерите наспроти одговорноста на содружниците/акционерите на друштвото.</w:t>
      </w:r>
    </w:p>
    <w:p w:rsidR="002E732E" w:rsidRPr="00C9475F" w:rsidRDefault="002E732E" w:rsidP="00C70787">
      <w:pPr>
        <w:pStyle w:val="ListParagraph"/>
        <w:spacing w:after="0"/>
        <w:rPr>
          <w:rFonts w:cs="Arial"/>
          <w:sz w:val="24"/>
          <w:szCs w:val="24"/>
        </w:rPr>
      </w:pPr>
    </w:p>
    <w:p w:rsidR="002E732E" w:rsidRPr="00C9475F" w:rsidRDefault="002E732E" w:rsidP="00C70787">
      <w:pPr>
        <w:numPr>
          <w:ilvl w:val="1"/>
          <w:numId w:val="1"/>
        </w:numPr>
        <w:spacing w:after="0" w:line="240" w:lineRule="auto"/>
        <w:ind w:left="1434" w:hanging="357"/>
        <w:rPr>
          <w:rFonts w:cs="Arial"/>
          <w:sz w:val="24"/>
          <w:szCs w:val="24"/>
        </w:rPr>
      </w:pPr>
      <w:r w:rsidRPr="00C9475F">
        <w:rPr>
          <w:sz w:val="24"/>
          <w:szCs w:val="24"/>
        </w:rPr>
        <w:t>Зголемување и намалување на основна главнина, Тајно друштво.</w:t>
      </w:r>
    </w:p>
    <w:p w:rsidR="002E732E" w:rsidRPr="00C9475F" w:rsidRDefault="002E732E" w:rsidP="00C70787">
      <w:pPr>
        <w:pStyle w:val="ListParagraph"/>
        <w:spacing w:after="0"/>
        <w:rPr>
          <w:rFonts w:cs="Arial"/>
          <w:sz w:val="24"/>
          <w:szCs w:val="24"/>
        </w:rPr>
      </w:pPr>
    </w:p>
    <w:p w:rsidR="002E732E" w:rsidRPr="002E732E" w:rsidRDefault="002E732E" w:rsidP="00C70787">
      <w:pPr>
        <w:numPr>
          <w:ilvl w:val="1"/>
          <w:numId w:val="1"/>
        </w:numPr>
        <w:spacing w:after="0" w:line="240" w:lineRule="auto"/>
        <w:ind w:left="1434" w:hanging="357"/>
        <w:rPr>
          <w:rFonts w:cs="Arial"/>
          <w:sz w:val="24"/>
          <w:szCs w:val="24"/>
        </w:rPr>
      </w:pPr>
      <w:r w:rsidRPr="00C9475F">
        <w:rPr>
          <w:sz w:val="24"/>
          <w:szCs w:val="24"/>
        </w:rPr>
        <w:t>Статусни промени на трговските друштва и преобразба од една во друга форма на трговско друштво.</w:t>
      </w:r>
    </w:p>
    <w:p w:rsidR="002E732E" w:rsidRDefault="002E732E" w:rsidP="00C70787">
      <w:pPr>
        <w:pStyle w:val="ListParagraph"/>
        <w:spacing w:after="0"/>
        <w:rPr>
          <w:rFonts w:cs="Arial"/>
          <w:sz w:val="24"/>
          <w:szCs w:val="24"/>
        </w:rPr>
      </w:pPr>
    </w:p>
    <w:p w:rsidR="002E732E" w:rsidRPr="00130908" w:rsidRDefault="00130908" w:rsidP="00C70787">
      <w:pPr>
        <w:numPr>
          <w:ilvl w:val="1"/>
          <w:numId w:val="1"/>
        </w:numPr>
        <w:spacing w:after="0" w:line="240" w:lineRule="auto"/>
        <w:ind w:left="1434" w:hanging="357"/>
        <w:rPr>
          <w:rFonts w:cs="Arial"/>
          <w:sz w:val="24"/>
          <w:szCs w:val="24"/>
        </w:rPr>
      </w:pPr>
      <w:r w:rsidRPr="0078647F">
        <w:rPr>
          <w:sz w:val="24"/>
          <w:szCs w:val="24"/>
        </w:rPr>
        <w:t>Општа слика на јавните давачки тековно применлива во Република Македонија;</w:t>
      </w:r>
      <w:r w:rsidRPr="0078647F">
        <w:rPr>
          <w:sz w:val="24"/>
          <w:szCs w:val="24"/>
        </w:rPr>
        <w:br/>
        <w:t xml:space="preserve">• Данокот на добивка во финансиската година 2014 и натаму; </w:t>
      </w:r>
      <w:r w:rsidRPr="0078647F">
        <w:rPr>
          <w:sz w:val="24"/>
          <w:szCs w:val="24"/>
        </w:rPr>
        <w:br/>
        <w:t>• Ревизорски доказ во врска со даноците – кратенка до најбрза потврда на салдата на побарувања/обврски за даноци и трошоците за даноци и други давачки со даночен карактер;</w:t>
      </w:r>
      <w:r w:rsidRPr="0078647F">
        <w:rPr>
          <w:sz w:val="24"/>
          <w:szCs w:val="24"/>
        </w:rPr>
        <w:br/>
      </w:r>
      <w:r w:rsidRPr="0078647F">
        <w:rPr>
          <w:sz w:val="24"/>
          <w:szCs w:val="24"/>
        </w:rPr>
        <w:lastRenderedPageBreak/>
        <w:t>• Споровите со даночните власти, и искажување на неизвесни средства и неизвесни обврски и други обелоденувања во врска со даноците во ревидираните финансиски извештаи.</w:t>
      </w:r>
    </w:p>
    <w:p w:rsidR="00130908" w:rsidRDefault="00130908" w:rsidP="00C70787">
      <w:pPr>
        <w:spacing w:after="0" w:line="240" w:lineRule="auto"/>
        <w:rPr>
          <w:rFonts w:cs="Arial"/>
          <w:sz w:val="24"/>
          <w:szCs w:val="24"/>
          <w:lang w:val="en-US"/>
        </w:rPr>
      </w:pPr>
    </w:p>
    <w:p w:rsidR="00130908" w:rsidRPr="00130908" w:rsidRDefault="00130908" w:rsidP="00C70787">
      <w:pPr>
        <w:numPr>
          <w:ilvl w:val="1"/>
          <w:numId w:val="1"/>
        </w:numPr>
        <w:spacing w:after="0" w:line="240" w:lineRule="auto"/>
        <w:ind w:left="1434" w:hanging="357"/>
        <w:rPr>
          <w:rFonts w:cs="Arial"/>
          <w:sz w:val="24"/>
          <w:szCs w:val="24"/>
          <w:lang w:val="en-US"/>
        </w:rPr>
      </w:pPr>
      <w:r w:rsidRPr="0078647F">
        <w:rPr>
          <w:sz w:val="24"/>
          <w:szCs w:val="24"/>
        </w:rPr>
        <w:t>Измени на Законот за ДДВ</w:t>
      </w:r>
      <w:r>
        <w:rPr>
          <w:sz w:val="24"/>
          <w:szCs w:val="24"/>
          <w:lang w:val="en-US"/>
        </w:rPr>
        <w:t>.</w:t>
      </w:r>
    </w:p>
    <w:p w:rsidR="00130908" w:rsidRPr="00130908" w:rsidRDefault="00130908" w:rsidP="00C70787">
      <w:pPr>
        <w:numPr>
          <w:ilvl w:val="1"/>
          <w:numId w:val="1"/>
        </w:numPr>
        <w:spacing w:after="0" w:line="240" w:lineRule="auto"/>
        <w:ind w:left="1434" w:hanging="357"/>
        <w:rPr>
          <w:rFonts w:cs="Arial"/>
          <w:sz w:val="24"/>
          <w:szCs w:val="24"/>
          <w:lang w:val="en-US"/>
        </w:rPr>
      </w:pPr>
      <w:r w:rsidRPr="0078647F">
        <w:rPr>
          <w:sz w:val="24"/>
          <w:szCs w:val="24"/>
        </w:rPr>
        <w:t>Измени на Законот за персоналниот данок на доход</w:t>
      </w:r>
      <w:r>
        <w:rPr>
          <w:sz w:val="24"/>
          <w:szCs w:val="24"/>
          <w:lang w:val="en-US"/>
        </w:rPr>
        <w:t>.</w:t>
      </w:r>
    </w:p>
    <w:p w:rsidR="00130908" w:rsidRPr="00107162" w:rsidRDefault="00107162" w:rsidP="00C70787">
      <w:pPr>
        <w:numPr>
          <w:ilvl w:val="1"/>
          <w:numId w:val="1"/>
        </w:numPr>
        <w:spacing w:after="0" w:line="240" w:lineRule="auto"/>
        <w:ind w:left="1434" w:hanging="357"/>
        <w:rPr>
          <w:rFonts w:cs="Arial"/>
          <w:sz w:val="24"/>
          <w:szCs w:val="24"/>
          <w:lang w:val="en-US"/>
        </w:rPr>
      </w:pPr>
      <w:r w:rsidRPr="0078647F">
        <w:rPr>
          <w:sz w:val="24"/>
          <w:szCs w:val="24"/>
        </w:rPr>
        <w:t>Измени на Законот за даночна постапка</w:t>
      </w:r>
      <w:r w:rsidR="00C70787">
        <w:rPr>
          <w:sz w:val="24"/>
          <w:szCs w:val="24"/>
        </w:rPr>
        <w:t>.</w:t>
      </w:r>
    </w:p>
    <w:p w:rsidR="00107162" w:rsidRPr="00107162" w:rsidRDefault="00107162" w:rsidP="00C70787">
      <w:pPr>
        <w:spacing w:after="0" w:line="240" w:lineRule="auto"/>
        <w:ind w:left="1434"/>
        <w:rPr>
          <w:rFonts w:cs="Arial"/>
          <w:sz w:val="24"/>
          <w:szCs w:val="24"/>
          <w:lang w:val="en-US"/>
        </w:rPr>
      </w:pPr>
    </w:p>
    <w:p w:rsidR="00107162" w:rsidRPr="00C70787" w:rsidRDefault="00C70787" w:rsidP="00C70787">
      <w:pPr>
        <w:numPr>
          <w:ilvl w:val="1"/>
          <w:numId w:val="1"/>
        </w:numPr>
        <w:spacing w:after="0" w:line="240" w:lineRule="auto"/>
        <w:ind w:left="1434" w:hanging="357"/>
        <w:rPr>
          <w:rFonts w:cs="Arial"/>
          <w:sz w:val="24"/>
          <w:szCs w:val="24"/>
          <w:lang w:val="en-US"/>
        </w:rPr>
      </w:pPr>
      <w:r w:rsidRPr="0078647F">
        <w:rPr>
          <w:sz w:val="24"/>
          <w:szCs w:val="24"/>
        </w:rPr>
        <w:t>• МСР 260 - Комуницирање со оние кои се задолжени за управување со ентитетот;</w:t>
      </w:r>
      <w:r w:rsidRPr="0078647F">
        <w:rPr>
          <w:sz w:val="24"/>
          <w:szCs w:val="24"/>
        </w:rPr>
        <w:br/>
        <w:t>• МСР 570 - Континуитет;</w:t>
      </w:r>
      <w:r w:rsidRPr="0078647F">
        <w:rPr>
          <w:sz w:val="24"/>
          <w:szCs w:val="24"/>
        </w:rPr>
        <w:br/>
        <w:t>• МСР 610 - Користење на работата на интерните ревизори.</w:t>
      </w:r>
    </w:p>
    <w:p w:rsidR="00C70787" w:rsidRDefault="00C70787" w:rsidP="00C70787">
      <w:pPr>
        <w:pStyle w:val="ListParagraph"/>
        <w:spacing w:after="0"/>
        <w:rPr>
          <w:rFonts w:cs="Arial"/>
          <w:sz w:val="24"/>
          <w:szCs w:val="24"/>
          <w:lang w:val="en-US"/>
        </w:rPr>
      </w:pPr>
    </w:p>
    <w:p w:rsidR="00C70787" w:rsidRPr="00C70787" w:rsidRDefault="00C70787" w:rsidP="00C70787">
      <w:pPr>
        <w:numPr>
          <w:ilvl w:val="1"/>
          <w:numId w:val="1"/>
        </w:numPr>
        <w:spacing w:after="0" w:line="240" w:lineRule="auto"/>
        <w:ind w:left="1434" w:hanging="357"/>
        <w:rPr>
          <w:rFonts w:cs="Arial"/>
          <w:sz w:val="24"/>
          <w:szCs w:val="24"/>
          <w:lang w:val="en-US"/>
        </w:rPr>
      </w:pPr>
      <w:r w:rsidRPr="0078647F">
        <w:rPr>
          <w:sz w:val="24"/>
          <w:szCs w:val="24"/>
        </w:rPr>
        <w:t>Односот помеѓу интерната и екстерната ревизија</w:t>
      </w:r>
      <w:r>
        <w:rPr>
          <w:sz w:val="24"/>
          <w:szCs w:val="24"/>
        </w:rPr>
        <w:t>.</w:t>
      </w:r>
    </w:p>
    <w:p w:rsidR="00C70787" w:rsidRDefault="00C70787" w:rsidP="00C70787">
      <w:pPr>
        <w:pStyle w:val="ListParagraph"/>
        <w:spacing w:after="0"/>
        <w:rPr>
          <w:rFonts w:cs="Arial"/>
          <w:sz w:val="24"/>
          <w:szCs w:val="24"/>
          <w:lang w:val="en-US"/>
        </w:rPr>
      </w:pPr>
    </w:p>
    <w:p w:rsidR="00C70787" w:rsidRPr="00C70787" w:rsidRDefault="00C70787" w:rsidP="00C70787">
      <w:pPr>
        <w:numPr>
          <w:ilvl w:val="1"/>
          <w:numId w:val="1"/>
        </w:numPr>
        <w:spacing w:after="0" w:line="240" w:lineRule="auto"/>
        <w:ind w:left="1434" w:hanging="357"/>
        <w:rPr>
          <w:rFonts w:cs="Arial"/>
          <w:sz w:val="24"/>
          <w:szCs w:val="24"/>
          <w:lang w:val="en-US"/>
        </w:rPr>
      </w:pPr>
      <w:r w:rsidRPr="0078647F">
        <w:rPr>
          <w:sz w:val="24"/>
          <w:szCs w:val="24"/>
        </w:rPr>
        <w:t>Актуелни прашања од областа на регулативата и финансиското известување на пазарот на хартии од вредност</w:t>
      </w:r>
      <w:r>
        <w:rPr>
          <w:sz w:val="24"/>
          <w:szCs w:val="24"/>
        </w:rPr>
        <w:t>.</w:t>
      </w:r>
    </w:p>
    <w:p w:rsidR="00C70787" w:rsidRDefault="00C70787" w:rsidP="00C70787">
      <w:pPr>
        <w:pStyle w:val="ListParagraph"/>
        <w:spacing w:after="0"/>
        <w:rPr>
          <w:rFonts w:cs="Arial"/>
          <w:sz w:val="24"/>
          <w:szCs w:val="24"/>
          <w:lang w:val="en-US"/>
        </w:rPr>
      </w:pPr>
    </w:p>
    <w:p w:rsidR="00C70787" w:rsidRPr="00C70787" w:rsidRDefault="00C70787" w:rsidP="00C70787">
      <w:pPr>
        <w:numPr>
          <w:ilvl w:val="1"/>
          <w:numId w:val="1"/>
        </w:numPr>
        <w:spacing w:after="0" w:line="240" w:lineRule="auto"/>
        <w:ind w:left="1434" w:hanging="357"/>
        <w:rPr>
          <w:rFonts w:cs="Arial"/>
          <w:sz w:val="24"/>
          <w:szCs w:val="24"/>
          <w:lang w:val="en-US"/>
        </w:rPr>
      </w:pPr>
      <w:r w:rsidRPr="0078647F">
        <w:rPr>
          <w:sz w:val="24"/>
          <w:szCs w:val="24"/>
        </w:rPr>
        <w:t>Деловни комбинации - практични примери за консолидација</w:t>
      </w:r>
      <w:r>
        <w:rPr>
          <w:sz w:val="24"/>
          <w:szCs w:val="24"/>
        </w:rPr>
        <w:t>.</w:t>
      </w:r>
    </w:p>
    <w:p w:rsidR="00C70787" w:rsidRDefault="00C70787" w:rsidP="00C70787">
      <w:pPr>
        <w:pStyle w:val="ListParagraph"/>
        <w:spacing w:after="0"/>
        <w:rPr>
          <w:rFonts w:cs="Arial"/>
          <w:sz w:val="24"/>
          <w:szCs w:val="24"/>
          <w:lang w:val="en-US"/>
        </w:rPr>
      </w:pPr>
    </w:p>
    <w:p w:rsidR="00C70787" w:rsidRPr="00C70787" w:rsidRDefault="00C70787" w:rsidP="00C70787">
      <w:pPr>
        <w:numPr>
          <w:ilvl w:val="1"/>
          <w:numId w:val="1"/>
        </w:numPr>
        <w:spacing w:after="0" w:line="240" w:lineRule="auto"/>
        <w:ind w:left="1434" w:hanging="357"/>
        <w:rPr>
          <w:rFonts w:cs="Arial"/>
          <w:sz w:val="24"/>
          <w:szCs w:val="24"/>
          <w:lang w:val="en-US"/>
        </w:rPr>
      </w:pPr>
      <w:r w:rsidRPr="0078647F">
        <w:rPr>
          <w:sz w:val="24"/>
          <w:szCs w:val="24"/>
        </w:rPr>
        <w:t>Пазарот на ревизија во Република Македонија - Состојба, перспективи и идеи за развој преку извештаите за транспарентност</w:t>
      </w:r>
      <w:r>
        <w:rPr>
          <w:sz w:val="24"/>
          <w:szCs w:val="24"/>
        </w:rPr>
        <w:t>.</w:t>
      </w:r>
    </w:p>
    <w:p w:rsidR="00C70787" w:rsidRDefault="00C70787" w:rsidP="00C70787">
      <w:pPr>
        <w:pStyle w:val="ListParagraph"/>
        <w:spacing w:after="0"/>
        <w:rPr>
          <w:rFonts w:cs="Arial"/>
          <w:sz w:val="24"/>
          <w:szCs w:val="24"/>
          <w:lang w:val="en-US"/>
        </w:rPr>
      </w:pPr>
    </w:p>
    <w:p w:rsidR="00C70787" w:rsidRPr="00C70787" w:rsidRDefault="00C70787" w:rsidP="00C70787">
      <w:pPr>
        <w:numPr>
          <w:ilvl w:val="1"/>
          <w:numId w:val="1"/>
        </w:numPr>
        <w:spacing w:after="0" w:line="240" w:lineRule="auto"/>
        <w:ind w:left="1434" w:hanging="357"/>
        <w:rPr>
          <w:rFonts w:cs="Arial"/>
          <w:sz w:val="24"/>
          <w:szCs w:val="24"/>
          <w:lang w:val="en-US"/>
        </w:rPr>
      </w:pPr>
      <w:r w:rsidRPr="0078647F">
        <w:rPr>
          <w:sz w:val="24"/>
          <w:szCs w:val="24"/>
        </w:rPr>
        <w:t>Користење на експерти во интерна ревизија</w:t>
      </w:r>
      <w:r>
        <w:rPr>
          <w:sz w:val="24"/>
          <w:szCs w:val="24"/>
        </w:rPr>
        <w:t>.</w:t>
      </w:r>
    </w:p>
    <w:p w:rsidR="00C70787" w:rsidRDefault="00C70787" w:rsidP="00C70787">
      <w:pPr>
        <w:pStyle w:val="ListParagraph"/>
        <w:spacing w:after="0"/>
        <w:rPr>
          <w:rFonts w:cs="Arial"/>
          <w:sz w:val="24"/>
          <w:szCs w:val="24"/>
          <w:lang w:val="en-US"/>
        </w:rPr>
      </w:pPr>
    </w:p>
    <w:p w:rsidR="00C70787" w:rsidRDefault="00C70787" w:rsidP="00C70787">
      <w:pPr>
        <w:numPr>
          <w:ilvl w:val="1"/>
          <w:numId w:val="1"/>
        </w:numPr>
        <w:spacing w:after="0" w:line="240" w:lineRule="auto"/>
        <w:ind w:left="1434" w:hanging="357"/>
        <w:rPr>
          <w:rFonts w:cs="Arial"/>
          <w:sz w:val="24"/>
          <w:szCs w:val="24"/>
          <w:lang w:val="en-US"/>
        </w:rPr>
      </w:pPr>
      <w:r>
        <w:rPr>
          <w:sz w:val="24"/>
          <w:szCs w:val="24"/>
        </w:rPr>
        <w:t>Управување с</w:t>
      </w:r>
      <w:r w:rsidRPr="0078647F">
        <w:rPr>
          <w:sz w:val="24"/>
          <w:szCs w:val="24"/>
        </w:rPr>
        <w:t>о конфликтни ситуации</w:t>
      </w:r>
      <w:r>
        <w:rPr>
          <w:sz w:val="24"/>
          <w:szCs w:val="24"/>
        </w:rPr>
        <w:t>.</w:t>
      </w:r>
    </w:p>
    <w:p w:rsidR="00130908" w:rsidRPr="00C9475F" w:rsidRDefault="00130908" w:rsidP="00130908">
      <w:pPr>
        <w:spacing w:after="0" w:line="240" w:lineRule="auto"/>
        <w:rPr>
          <w:rFonts w:cs="Arial"/>
          <w:sz w:val="24"/>
          <w:szCs w:val="24"/>
        </w:rPr>
      </w:pPr>
    </w:p>
    <w:p w:rsidR="002E732E" w:rsidRPr="00C9475F" w:rsidRDefault="002E732E" w:rsidP="002E732E">
      <w:pPr>
        <w:spacing w:after="0"/>
        <w:jc w:val="both"/>
        <w:rPr>
          <w:rFonts w:cs="Arial"/>
          <w:sz w:val="24"/>
          <w:szCs w:val="24"/>
        </w:rPr>
      </w:pPr>
      <w:r w:rsidRPr="00C9475F">
        <w:rPr>
          <w:rFonts w:cs="Arial"/>
          <w:sz w:val="24"/>
          <w:szCs w:val="24"/>
        </w:rPr>
        <w:t>Исто така, во текот на 2015 година, овластениот ревизор на Банката  присуствуваше на еднодневна обука од 8 часа организирана од страна на КПМГ Македонија на следните теми:</w:t>
      </w:r>
    </w:p>
    <w:p w:rsidR="002E732E" w:rsidRPr="00C9475F" w:rsidRDefault="002E732E" w:rsidP="002E732E">
      <w:pPr>
        <w:spacing w:after="0"/>
        <w:jc w:val="both"/>
        <w:rPr>
          <w:rFonts w:cs="Arial"/>
          <w:sz w:val="24"/>
          <w:szCs w:val="24"/>
        </w:rPr>
      </w:pPr>
    </w:p>
    <w:p w:rsidR="002E732E" w:rsidRPr="00C9475F" w:rsidRDefault="002E732E" w:rsidP="002E732E">
      <w:pPr>
        <w:numPr>
          <w:ilvl w:val="1"/>
          <w:numId w:val="1"/>
        </w:numPr>
        <w:spacing w:after="0" w:line="240" w:lineRule="auto"/>
        <w:ind w:left="1434" w:hanging="357"/>
        <w:jc w:val="both"/>
        <w:rPr>
          <w:rFonts w:eastAsia="Times New Roman" w:cs="Arial"/>
          <w:sz w:val="24"/>
          <w:szCs w:val="24"/>
        </w:rPr>
      </w:pPr>
      <w:r w:rsidRPr="00C9475F">
        <w:rPr>
          <w:rFonts w:eastAsia="Times New Roman" w:cs="Arial"/>
          <w:sz w:val="24"/>
          <w:szCs w:val="24"/>
        </w:rPr>
        <w:t>измени во даночната и правна регулатива,</w:t>
      </w:r>
    </w:p>
    <w:p w:rsidR="002E732E" w:rsidRPr="00C9475F" w:rsidRDefault="002E732E" w:rsidP="002E732E">
      <w:pPr>
        <w:spacing w:after="0" w:line="240" w:lineRule="auto"/>
        <w:ind w:left="1434"/>
        <w:jc w:val="both"/>
        <w:rPr>
          <w:rFonts w:eastAsia="Times New Roman" w:cs="Arial"/>
          <w:sz w:val="24"/>
          <w:szCs w:val="24"/>
        </w:rPr>
      </w:pPr>
    </w:p>
    <w:p w:rsidR="002E732E" w:rsidRPr="00C9475F" w:rsidRDefault="002E732E" w:rsidP="002E732E">
      <w:pPr>
        <w:numPr>
          <w:ilvl w:val="1"/>
          <w:numId w:val="1"/>
        </w:numPr>
        <w:spacing w:after="0" w:line="240" w:lineRule="auto"/>
        <w:ind w:left="1434" w:hanging="357"/>
        <w:jc w:val="both"/>
        <w:rPr>
          <w:rFonts w:eastAsia="Times New Roman" w:cs="Arial"/>
          <w:sz w:val="24"/>
          <w:szCs w:val="24"/>
        </w:rPr>
      </w:pPr>
      <w:r w:rsidRPr="00C9475F">
        <w:rPr>
          <w:rFonts w:eastAsia="Times New Roman" w:cs="Arial"/>
          <w:sz w:val="24"/>
          <w:szCs w:val="24"/>
        </w:rPr>
        <w:t>актуелни теми поврзани со обелоденување и идни промени во сметководствените политики.</w:t>
      </w:r>
    </w:p>
    <w:p w:rsidR="002E732E" w:rsidRPr="00C9475F" w:rsidRDefault="002E732E" w:rsidP="002E732E">
      <w:pPr>
        <w:spacing w:after="0"/>
        <w:jc w:val="both"/>
        <w:rPr>
          <w:rFonts w:cs="Arial"/>
          <w:sz w:val="24"/>
          <w:szCs w:val="24"/>
        </w:rPr>
      </w:pPr>
    </w:p>
    <w:p w:rsidR="00680CD4" w:rsidRPr="007F4600" w:rsidRDefault="00680CD4" w:rsidP="006B7092">
      <w:pPr>
        <w:spacing w:after="0"/>
        <w:jc w:val="both"/>
        <w:rPr>
          <w:rFonts w:cs="Arial"/>
          <w:b/>
          <w:i/>
          <w:sz w:val="24"/>
          <w:szCs w:val="24"/>
        </w:rPr>
      </w:pPr>
      <w:r w:rsidRPr="007F4600">
        <w:rPr>
          <w:rFonts w:cs="Arial"/>
          <w:b/>
          <w:i/>
          <w:sz w:val="24"/>
          <w:szCs w:val="24"/>
        </w:rPr>
        <w:t xml:space="preserve">Членство во професионални здруженија: </w:t>
      </w:r>
    </w:p>
    <w:p w:rsidR="00680CD4" w:rsidRPr="006B7092" w:rsidRDefault="00680CD4" w:rsidP="006B7092">
      <w:pPr>
        <w:spacing w:after="0"/>
        <w:jc w:val="both"/>
        <w:rPr>
          <w:rFonts w:cs="Arial"/>
          <w:sz w:val="24"/>
          <w:szCs w:val="24"/>
        </w:rPr>
      </w:pPr>
    </w:p>
    <w:p w:rsidR="00680CD4" w:rsidRPr="006B7092" w:rsidRDefault="00680CD4" w:rsidP="006B7092">
      <w:pPr>
        <w:spacing w:after="0"/>
        <w:jc w:val="both"/>
        <w:rPr>
          <w:rFonts w:cs="Arial"/>
          <w:sz w:val="24"/>
          <w:szCs w:val="24"/>
        </w:rPr>
      </w:pPr>
      <w:r w:rsidRPr="006B7092">
        <w:rPr>
          <w:rFonts w:cs="Arial"/>
          <w:sz w:val="24"/>
          <w:szCs w:val="24"/>
        </w:rPr>
        <w:t>Овластениот ревизор Алексеј Перчинковски е член на Институтот на овластени ревизори на РМ (ИОРРМ), каде редовно учествува во работата на Собранието на ИОРРМ, како и во работата на Комисијата за Меѓународни ревизорски стандарди (МРС) во ИОРРМ. Исто така, член е и на Здружението на внатрешни ревизори на РМ (ЗВРМ) и на Институтот на внатрешни ревизори (</w:t>
      </w:r>
      <w:r w:rsidRPr="006B7092">
        <w:rPr>
          <w:rFonts w:cs="Arial"/>
          <w:sz w:val="24"/>
          <w:szCs w:val="24"/>
          <w:lang w:val="en-US"/>
        </w:rPr>
        <w:t>IAA</w:t>
      </w:r>
      <w:r w:rsidRPr="006B7092">
        <w:rPr>
          <w:rFonts w:cs="Arial"/>
          <w:sz w:val="24"/>
          <w:szCs w:val="24"/>
        </w:rPr>
        <w:t xml:space="preserve"> - </w:t>
      </w:r>
      <w:r w:rsidRPr="006B7092">
        <w:rPr>
          <w:rFonts w:cs="Arial"/>
          <w:sz w:val="24"/>
          <w:szCs w:val="24"/>
          <w:lang w:val="en-US"/>
        </w:rPr>
        <w:t xml:space="preserve">Institute of Internal Auditors), </w:t>
      </w:r>
      <w:r w:rsidRPr="006B7092">
        <w:rPr>
          <w:rFonts w:cs="Arial"/>
          <w:sz w:val="24"/>
          <w:szCs w:val="24"/>
        </w:rPr>
        <w:t>најголемо меѓународно здружение на внатрешни ревизори.</w:t>
      </w:r>
    </w:p>
    <w:p w:rsidR="00753078" w:rsidRPr="006B7092" w:rsidRDefault="00753078" w:rsidP="006B7092">
      <w:pPr>
        <w:spacing w:after="0"/>
        <w:jc w:val="both"/>
        <w:rPr>
          <w:rFonts w:cs="Arial"/>
          <w:sz w:val="24"/>
          <w:szCs w:val="24"/>
        </w:rPr>
      </w:pPr>
    </w:p>
    <w:p w:rsidR="00680CD4" w:rsidRPr="007F4600" w:rsidRDefault="00CE13A0" w:rsidP="006B7092">
      <w:pPr>
        <w:spacing w:after="0"/>
        <w:jc w:val="both"/>
        <w:rPr>
          <w:rFonts w:cs="Arial"/>
          <w:b/>
          <w:i/>
          <w:sz w:val="24"/>
          <w:szCs w:val="24"/>
        </w:rPr>
      </w:pPr>
      <w:r w:rsidRPr="007F4600">
        <w:rPr>
          <w:rFonts w:cs="Arial"/>
          <w:b/>
          <w:i/>
          <w:sz w:val="24"/>
          <w:szCs w:val="24"/>
        </w:rPr>
        <w:t xml:space="preserve">Извршители: </w:t>
      </w:r>
      <w:bookmarkStart w:id="14" w:name="_GoBack"/>
      <w:bookmarkEnd w:id="14"/>
    </w:p>
    <w:p w:rsidR="00680CD4" w:rsidRPr="006B7092" w:rsidRDefault="00680CD4" w:rsidP="006B7092">
      <w:pPr>
        <w:spacing w:after="0"/>
        <w:jc w:val="both"/>
        <w:rPr>
          <w:rFonts w:cs="Arial"/>
          <w:sz w:val="24"/>
          <w:szCs w:val="24"/>
        </w:rPr>
      </w:pPr>
    </w:p>
    <w:p w:rsidR="00CE13A0" w:rsidRPr="006B7092" w:rsidRDefault="00680CD4" w:rsidP="006B7092">
      <w:pPr>
        <w:spacing w:after="0"/>
        <w:jc w:val="both"/>
        <w:rPr>
          <w:rFonts w:cs="Arial"/>
          <w:sz w:val="24"/>
          <w:szCs w:val="24"/>
        </w:rPr>
      </w:pPr>
      <w:r w:rsidRPr="006B7092">
        <w:rPr>
          <w:rFonts w:cs="Arial"/>
          <w:sz w:val="24"/>
          <w:szCs w:val="24"/>
        </w:rPr>
        <w:t>Н</w:t>
      </w:r>
      <w:r w:rsidR="0072621F" w:rsidRPr="006B7092">
        <w:rPr>
          <w:rFonts w:cs="Arial"/>
          <w:sz w:val="24"/>
          <w:szCs w:val="24"/>
        </w:rPr>
        <w:t>а крајот на 201</w:t>
      </w:r>
      <w:r w:rsidR="000E54CE">
        <w:rPr>
          <w:rFonts w:cs="Arial"/>
          <w:sz w:val="24"/>
          <w:szCs w:val="24"/>
        </w:rPr>
        <w:t>5</w:t>
      </w:r>
      <w:r w:rsidR="0072621F" w:rsidRPr="006B7092">
        <w:rPr>
          <w:rFonts w:cs="Arial"/>
          <w:sz w:val="24"/>
          <w:szCs w:val="24"/>
        </w:rPr>
        <w:t xml:space="preserve"> година, </w:t>
      </w:r>
      <w:r w:rsidR="00CE13A0" w:rsidRPr="006B7092">
        <w:rPr>
          <w:rFonts w:cs="Arial"/>
          <w:sz w:val="24"/>
          <w:szCs w:val="24"/>
        </w:rPr>
        <w:t xml:space="preserve">Службата за внатрешна ревизија ја сочинува еден овластен ревизор – извршител кој ги спроведе сите редовни и вонредни ревизии на Банката во </w:t>
      </w:r>
      <w:r w:rsidR="003519D2" w:rsidRPr="006B7092">
        <w:rPr>
          <w:rFonts w:cs="Arial"/>
          <w:sz w:val="24"/>
          <w:szCs w:val="24"/>
        </w:rPr>
        <w:t>текот на</w:t>
      </w:r>
      <w:r w:rsidR="00E06D99" w:rsidRPr="006B7092">
        <w:rPr>
          <w:rFonts w:cs="Arial"/>
          <w:sz w:val="24"/>
          <w:szCs w:val="24"/>
        </w:rPr>
        <w:t xml:space="preserve"> </w:t>
      </w:r>
      <w:r w:rsidR="00CE13A0" w:rsidRPr="006B7092">
        <w:rPr>
          <w:rFonts w:cs="Arial"/>
          <w:sz w:val="24"/>
          <w:szCs w:val="24"/>
        </w:rPr>
        <w:t>201</w:t>
      </w:r>
      <w:r w:rsidR="000E54CE">
        <w:rPr>
          <w:rFonts w:cs="Arial"/>
          <w:sz w:val="24"/>
          <w:szCs w:val="24"/>
        </w:rPr>
        <w:t>5</w:t>
      </w:r>
      <w:r w:rsidR="001E4A8F" w:rsidRPr="006B7092">
        <w:rPr>
          <w:rFonts w:cs="Arial"/>
          <w:sz w:val="24"/>
          <w:szCs w:val="24"/>
        </w:rPr>
        <w:t xml:space="preserve"> година.</w:t>
      </w:r>
    </w:p>
    <w:p w:rsidR="00680CD4" w:rsidRPr="006B7092" w:rsidRDefault="00680CD4" w:rsidP="006B7092">
      <w:pPr>
        <w:spacing w:after="0"/>
        <w:jc w:val="both"/>
        <w:rPr>
          <w:rFonts w:cs="Arial"/>
          <w:sz w:val="24"/>
          <w:szCs w:val="24"/>
        </w:rPr>
      </w:pPr>
    </w:p>
    <w:p w:rsidR="00CE13A0" w:rsidRPr="006B7092" w:rsidRDefault="00CE13A0" w:rsidP="006B7092">
      <w:pPr>
        <w:autoSpaceDE w:val="0"/>
        <w:autoSpaceDN w:val="0"/>
        <w:adjustRightInd w:val="0"/>
        <w:spacing w:after="0" w:line="240" w:lineRule="auto"/>
        <w:ind w:firstLine="720"/>
        <w:jc w:val="both"/>
        <w:rPr>
          <w:rFonts w:cs="Arial"/>
          <w:b/>
          <w:sz w:val="24"/>
          <w:szCs w:val="24"/>
        </w:rPr>
      </w:pPr>
      <w:r w:rsidRPr="006B7092">
        <w:rPr>
          <w:rFonts w:cs="Arial"/>
          <w:b/>
          <w:sz w:val="24"/>
          <w:szCs w:val="24"/>
        </w:rPr>
        <w:t>ПРИЛОГ</w:t>
      </w:r>
      <w:r w:rsidR="005019C3" w:rsidRPr="006B7092">
        <w:rPr>
          <w:rFonts w:cs="Arial"/>
          <w:b/>
          <w:sz w:val="24"/>
          <w:szCs w:val="24"/>
        </w:rPr>
        <w:t>:</w:t>
      </w:r>
    </w:p>
    <w:p w:rsidR="00CE13A0" w:rsidRPr="006B7092" w:rsidRDefault="00CE13A0" w:rsidP="006B7092">
      <w:pPr>
        <w:pStyle w:val="ListParagraph"/>
        <w:autoSpaceDE w:val="0"/>
        <w:autoSpaceDN w:val="0"/>
        <w:adjustRightInd w:val="0"/>
        <w:spacing w:after="0" w:line="240" w:lineRule="auto"/>
        <w:jc w:val="both"/>
        <w:rPr>
          <w:rFonts w:cs="Arial"/>
          <w:b/>
          <w:sz w:val="24"/>
          <w:szCs w:val="24"/>
        </w:rPr>
      </w:pPr>
    </w:p>
    <w:p w:rsidR="00CE13A0" w:rsidRPr="006B7092" w:rsidRDefault="00CE13A0" w:rsidP="006B7092">
      <w:pPr>
        <w:pStyle w:val="ListParagraph"/>
        <w:numPr>
          <w:ilvl w:val="0"/>
          <w:numId w:val="1"/>
        </w:numPr>
        <w:autoSpaceDE w:val="0"/>
        <w:autoSpaceDN w:val="0"/>
        <w:adjustRightInd w:val="0"/>
        <w:spacing w:after="0" w:line="240" w:lineRule="auto"/>
        <w:jc w:val="both"/>
        <w:rPr>
          <w:rFonts w:cs="Arial"/>
          <w:b/>
          <w:sz w:val="24"/>
          <w:szCs w:val="24"/>
        </w:rPr>
      </w:pPr>
      <w:r w:rsidRPr="006B7092">
        <w:rPr>
          <w:rFonts w:cs="Arial"/>
          <w:b/>
          <w:sz w:val="24"/>
          <w:szCs w:val="24"/>
        </w:rPr>
        <w:t>Сумарен извештај за наодите, препораките и статусот / табеларен преглед</w:t>
      </w:r>
    </w:p>
    <w:p w:rsidR="00CE324F" w:rsidRPr="006B7092" w:rsidRDefault="00CE324F" w:rsidP="006B7092">
      <w:pPr>
        <w:autoSpaceDE w:val="0"/>
        <w:autoSpaceDN w:val="0"/>
        <w:adjustRightInd w:val="0"/>
        <w:spacing w:after="0" w:line="240" w:lineRule="auto"/>
        <w:jc w:val="both"/>
        <w:rPr>
          <w:rFonts w:cs="Arial"/>
          <w:b/>
          <w:sz w:val="24"/>
          <w:szCs w:val="24"/>
          <w:lang w:val="en-US"/>
        </w:rPr>
      </w:pPr>
    </w:p>
    <w:p w:rsidR="00232E09" w:rsidRPr="006B7092" w:rsidRDefault="00883134" w:rsidP="006B7092">
      <w:pPr>
        <w:spacing w:after="0"/>
        <w:jc w:val="both"/>
        <w:rPr>
          <w:rFonts w:cs="Arial"/>
          <w:sz w:val="24"/>
          <w:szCs w:val="24"/>
        </w:rPr>
      </w:pPr>
      <w:r w:rsidRPr="006B7092">
        <w:rPr>
          <w:rFonts w:cs="Arial"/>
          <w:sz w:val="24"/>
          <w:szCs w:val="24"/>
        </w:rPr>
        <w:t xml:space="preserve">Скопје, </w:t>
      </w:r>
      <w:r w:rsidR="00AA6027" w:rsidRPr="006B7092">
        <w:rPr>
          <w:rFonts w:cs="Arial"/>
          <w:sz w:val="24"/>
          <w:szCs w:val="24"/>
        </w:rPr>
        <w:t>1</w:t>
      </w:r>
      <w:r w:rsidR="000E54CE">
        <w:rPr>
          <w:rFonts w:cs="Arial"/>
          <w:sz w:val="24"/>
          <w:szCs w:val="24"/>
        </w:rPr>
        <w:t>8</w:t>
      </w:r>
      <w:r w:rsidRPr="006B7092">
        <w:rPr>
          <w:rFonts w:cs="Arial"/>
          <w:sz w:val="24"/>
          <w:szCs w:val="24"/>
        </w:rPr>
        <w:t>.0</w:t>
      </w:r>
      <w:r w:rsidR="003E14C2" w:rsidRPr="006B7092">
        <w:rPr>
          <w:rFonts w:cs="Arial"/>
          <w:sz w:val="24"/>
          <w:szCs w:val="24"/>
        </w:rPr>
        <w:t>1</w:t>
      </w:r>
      <w:r w:rsidRPr="006B7092">
        <w:rPr>
          <w:rFonts w:cs="Arial"/>
          <w:sz w:val="24"/>
          <w:szCs w:val="24"/>
        </w:rPr>
        <w:t>.201</w:t>
      </w:r>
      <w:r w:rsidR="000E54CE">
        <w:rPr>
          <w:rFonts w:cs="Arial"/>
          <w:sz w:val="24"/>
          <w:szCs w:val="24"/>
        </w:rPr>
        <w:t>6</w:t>
      </w:r>
      <w:r w:rsidR="00553E7A" w:rsidRPr="006B7092">
        <w:rPr>
          <w:rFonts w:cs="Arial"/>
          <w:sz w:val="24"/>
          <w:szCs w:val="24"/>
        </w:rPr>
        <w:t xml:space="preserve"> г</w:t>
      </w:r>
      <w:r w:rsidR="00645D56" w:rsidRPr="006B7092">
        <w:rPr>
          <w:rFonts w:cs="Arial"/>
          <w:sz w:val="24"/>
          <w:szCs w:val="24"/>
        </w:rPr>
        <w:t>одина</w:t>
      </w:r>
      <w:r w:rsidR="00553E7A" w:rsidRPr="006B7092">
        <w:rPr>
          <w:rFonts w:cs="Arial"/>
          <w:sz w:val="24"/>
          <w:szCs w:val="24"/>
        </w:rPr>
        <w:tab/>
      </w:r>
      <w:r w:rsidR="00553E7A" w:rsidRPr="006B7092">
        <w:rPr>
          <w:rFonts w:cs="Arial"/>
          <w:sz w:val="24"/>
          <w:szCs w:val="24"/>
        </w:rPr>
        <w:tab/>
      </w:r>
      <w:r w:rsidR="00ED7906" w:rsidRPr="006B7092">
        <w:rPr>
          <w:rFonts w:cs="Arial"/>
          <w:sz w:val="24"/>
          <w:szCs w:val="24"/>
        </w:rPr>
        <w:tab/>
      </w:r>
      <w:r w:rsidR="00BB6915" w:rsidRPr="006B7092">
        <w:rPr>
          <w:rFonts w:cs="Arial"/>
          <w:sz w:val="24"/>
          <w:szCs w:val="24"/>
        </w:rPr>
        <w:tab/>
      </w:r>
      <w:r w:rsidR="00BB7FC1" w:rsidRPr="006B7092">
        <w:rPr>
          <w:rFonts w:cs="Arial"/>
          <w:sz w:val="24"/>
          <w:szCs w:val="24"/>
        </w:rPr>
        <w:tab/>
      </w:r>
      <w:r w:rsidR="00232E09" w:rsidRPr="006B7092">
        <w:rPr>
          <w:rFonts w:cs="Arial"/>
          <w:sz w:val="24"/>
          <w:szCs w:val="24"/>
        </w:rPr>
        <w:t>Капитал банка АД Скопје</w:t>
      </w:r>
    </w:p>
    <w:p w:rsidR="00232E09" w:rsidRPr="006B7092" w:rsidRDefault="00232E09" w:rsidP="006B7092">
      <w:pPr>
        <w:spacing w:after="0"/>
        <w:ind w:left="5760"/>
        <w:jc w:val="both"/>
        <w:rPr>
          <w:rFonts w:cs="Arial"/>
          <w:sz w:val="24"/>
          <w:szCs w:val="24"/>
        </w:rPr>
      </w:pPr>
      <w:r w:rsidRPr="006B7092">
        <w:rPr>
          <w:rFonts w:cs="Arial"/>
          <w:sz w:val="24"/>
          <w:szCs w:val="24"/>
        </w:rPr>
        <w:t>Алексеј Перчинковски</w:t>
      </w:r>
    </w:p>
    <w:p w:rsidR="00645D56" w:rsidRPr="006B7092" w:rsidRDefault="00645D56" w:rsidP="006B7092">
      <w:pPr>
        <w:spacing w:after="0"/>
        <w:ind w:left="5760"/>
        <w:jc w:val="both"/>
        <w:rPr>
          <w:rFonts w:cs="Arial"/>
          <w:sz w:val="24"/>
          <w:szCs w:val="24"/>
        </w:rPr>
      </w:pPr>
      <w:r w:rsidRPr="006B7092">
        <w:rPr>
          <w:rFonts w:cs="Arial"/>
          <w:sz w:val="24"/>
          <w:szCs w:val="24"/>
        </w:rPr>
        <w:t>Раков</w:t>
      </w:r>
      <w:r w:rsidR="00FE196A" w:rsidRPr="006B7092">
        <w:rPr>
          <w:rFonts w:cs="Arial"/>
          <w:sz w:val="24"/>
          <w:szCs w:val="24"/>
        </w:rPr>
        <w:t>одит</w:t>
      </w:r>
      <w:r w:rsidRPr="006B7092">
        <w:rPr>
          <w:rFonts w:cs="Arial"/>
          <w:sz w:val="24"/>
          <w:szCs w:val="24"/>
        </w:rPr>
        <w:t>ел на</w:t>
      </w:r>
    </w:p>
    <w:p w:rsidR="00232E09" w:rsidRPr="006B7092" w:rsidRDefault="00232E09" w:rsidP="006B7092">
      <w:pPr>
        <w:spacing w:after="0"/>
        <w:ind w:left="5760"/>
        <w:jc w:val="both"/>
        <w:rPr>
          <w:rFonts w:cs="Arial"/>
          <w:sz w:val="24"/>
          <w:szCs w:val="24"/>
        </w:rPr>
      </w:pPr>
      <w:r w:rsidRPr="006B7092">
        <w:rPr>
          <w:rFonts w:cs="Arial"/>
          <w:sz w:val="24"/>
          <w:szCs w:val="24"/>
        </w:rPr>
        <w:t>Служба за внатрешна ревизија</w:t>
      </w:r>
    </w:p>
    <w:p w:rsidR="00232E09" w:rsidRPr="006B7092" w:rsidRDefault="00232E09" w:rsidP="006B7092">
      <w:pPr>
        <w:spacing w:after="0"/>
        <w:ind w:left="5760"/>
        <w:jc w:val="both"/>
        <w:rPr>
          <w:rFonts w:cs="Arial"/>
          <w:sz w:val="24"/>
          <w:szCs w:val="24"/>
        </w:rPr>
      </w:pPr>
    </w:p>
    <w:p w:rsidR="0026701A" w:rsidRPr="006B7092" w:rsidRDefault="0026701A" w:rsidP="006B7092">
      <w:pPr>
        <w:spacing w:after="0"/>
        <w:ind w:left="5760"/>
        <w:jc w:val="both"/>
        <w:rPr>
          <w:rFonts w:cs="Arial"/>
          <w:sz w:val="24"/>
          <w:szCs w:val="24"/>
        </w:rPr>
      </w:pPr>
    </w:p>
    <w:p w:rsidR="00645D56" w:rsidRPr="006B7092" w:rsidRDefault="00645D56" w:rsidP="006B7092">
      <w:pPr>
        <w:spacing w:after="0"/>
        <w:ind w:left="5760"/>
        <w:jc w:val="both"/>
        <w:rPr>
          <w:rFonts w:cs="Arial"/>
          <w:sz w:val="24"/>
          <w:szCs w:val="24"/>
        </w:rPr>
      </w:pPr>
    </w:p>
    <w:p w:rsidR="00232E09" w:rsidRPr="006B7092" w:rsidRDefault="00232E09" w:rsidP="006B7092">
      <w:pPr>
        <w:spacing w:after="0"/>
        <w:ind w:left="5760"/>
        <w:jc w:val="both"/>
        <w:rPr>
          <w:rFonts w:cs="Arial"/>
          <w:sz w:val="24"/>
          <w:szCs w:val="24"/>
        </w:rPr>
      </w:pPr>
      <w:r w:rsidRPr="006B7092">
        <w:rPr>
          <w:rFonts w:cs="Arial"/>
          <w:sz w:val="24"/>
          <w:szCs w:val="24"/>
        </w:rPr>
        <w:t>--------------------------------------------</w:t>
      </w:r>
    </w:p>
    <w:p w:rsidR="00954609" w:rsidRPr="006B7092" w:rsidRDefault="00954609" w:rsidP="006B7092">
      <w:pPr>
        <w:autoSpaceDE w:val="0"/>
        <w:autoSpaceDN w:val="0"/>
        <w:adjustRightInd w:val="0"/>
        <w:spacing w:after="0" w:line="240" w:lineRule="auto"/>
        <w:jc w:val="both"/>
        <w:rPr>
          <w:rFonts w:cs="Arial"/>
          <w:sz w:val="24"/>
          <w:szCs w:val="24"/>
        </w:rPr>
        <w:sectPr w:rsidR="00954609" w:rsidRPr="006B7092" w:rsidSect="00BD1E6E">
          <w:headerReference w:type="default" r:id="rId16"/>
          <w:footerReference w:type="default" r:id="rId17"/>
          <w:pgSz w:w="11906" w:h="16838"/>
          <w:pgMar w:top="1440" w:right="1440" w:bottom="1440" w:left="1440" w:header="708" w:footer="708" w:gutter="0"/>
          <w:cols w:space="708"/>
          <w:docGrid w:linePitch="360"/>
        </w:sectPr>
      </w:pPr>
    </w:p>
    <w:tbl>
      <w:tblPr>
        <w:tblW w:w="12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2"/>
        <w:gridCol w:w="4310"/>
        <w:gridCol w:w="266"/>
        <w:gridCol w:w="3690"/>
        <w:gridCol w:w="3384"/>
      </w:tblGrid>
      <w:tr w:rsidR="000912AE" w:rsidRPr="00672340" w:rsidTr="00E7174C">
        <w:tc>
          <w:tcPr>
            <w:tcW w:w="932" w:type="dxa"/>
          </w:tcPr>
          <w:p w:rsidR="000912AE" w:rsidRPr="00672340" w:rsidRDefault="000912AE" w:rsidP="00DB734C">
            <w:pPr>
              <w:spacing w:after="0"/>
              <w:jc w:val="center"/>
              <w:rPr>
                <w:rFonts w:cs="Arial"/>
              </w:rPr>
            </w:pPr>
            <w:r w:rsidRPr="00672340">
              <w:rPr>
                <w:rFonts w:cs="Arial"/>
              </w:rPr>
              <w:lastRenderedPageBreak/>
              <w:t>1</w:t>
            </w:r>
          </w:p>
        </w:tc>
        <w:tc>
          <w:tcPr>
            <w:tcW w:w="4310" w:type="dxa"/>
          </w:tcPr>
          <w:p w:rsidR="000912AE" w:rsidRPr="006D5AA7" w:rsidRDefault="000912AE" w:rsidP="00C9745E">
            <w:pPr>
              <w:spacing w:after="0"/>
              <w:rPr>
                <w:rFonts w:cs="Arial"/>
                <w:b/>
                <w:highlight w:val="yellow"/>
              </w:rPr>
            </w:pPr>
            <w:r w:rsidRPr="006D5AA7">
              <w:rPr>
                <w:rFonts w:cs="Arial"/>
              </w:rPr>
              <w:t>Во моментот на ревизијата, дел од интерните Процедури кои го пропишуваат начинот на работењето на експозитурите, не се ажурирани во последните две календарски години.</w:t>
            </w:r>
          </w:p>
        </w:tc>
        <w:tc>
          <w:tcPr>
            <w:tcW w:w="3956" w:type="dxa"/>
            <w:gridSpan w:val="2"/>
          </w:tcPr>
          <w:p w:rsidR="000912AE" w:rsidRPr="006D5AA7" w:rsidRDefault="000912AE" w:rsidP="00C9745E">
            <w:pPr>
              <w:spacing w:after="0"/>
              <w:rPr>
                <w:rFonts w:cs="Arial"/>
              </w:rPr>
            </w:pPr>
            <w:r w:rsidRPr="006D5AA7">
              <w:rPr>
                <w:rFonts w:cs="Arial"/>
              </w:rPr>
              <w:t>Да се ажурираат дел од интерните Процедури кои го пропишуваат начинот на работењето на експозитурите.</w:t>
            </w:r>
          </w:p>
        </w:tc>
        <w:tc>
          <w:tcPr>
            <w:tcW w:w="3384" w:type="dxa"/>
          </w:tcPr>
          <w:p w:rsidR="000912AE" w:rsidRPr="000912AE" w:rsidRDefault="000912AE" w:rsidP="000912AE">
            <w:pPr>
              <w:spacing w:after="0"/>
              <w:rPr>
                <w:sz w:val="24"/>
                <w:szCs w:val="24"/>
              </w:rPr>
            </w:pPr>
            <w:r w:rsidRPr="00672340">
              <w:rPr>
                <w:rFonts w:cs="Arial"/>
                <w:b/>
              </w:rPr>
              <w:t xml:space="preserve">Усогласено </w:t>
            </w:r>
            <w:r>
              <w:rPr>
                <w:rFonts w:cs="Arial"/>
                <w:b/>
              </w:rPr>
              <w:t xml:space="preserve">- </w:t>
            </w:r>
            <w:r w:rsidRPr="000912AE">
              <w:t>Во месец декември 2015 година, Управниот Одбор ги усвои ревидираните верзии на Процедурата за револвинг кредитирање на население преку кредитни картици, на Процедурата за прием, одобрување, евидентирање, архвирање и книжење на потрошувачки кредити, на Процедурата за прием, одобрување, евидентирање, архвирање и книжење на хипотекарни кредити и на Процедурата за прием, одобрување, евидентирање, архвирање и книжење на станбени кредити.</w:t>
            </w:r>
          </w:p>
        </w:tc>
      </w:tr>
      <w:tr w:rsidR="00A26A00" w:rsidRPr="00C20F45" w:rsidTr="00E7174C">
        <w:tc>
          <w:tcPr>
            <w:tcW w:w="932" w:type="dxa"/>
          </w:tcPr>
          <w:p w:rsidR="00A26A00" w:rsidRPr="00C20F45" w:rsidRDefault="00A26A00" w:rsidP="00C9745E">
            <w:pPr>
              <w:spacing w:after="0"/>
              <w:jc w:val="center"/>
              <w:rPr>
                <w:rFonts w:cs="Arial"/>
              </w:rPr>
            </w:pPr>
            <w:r w:rsidRPr="00C20F45">
              <w:rPr>
                <w:rFonts w:cs="Arial"/>
              </w:rPr>
              <w:t>2</w:t>
            </w:r>
          </w:p>
        </w:tc>
        <w:tc>
          <w:tcPr>
            <w:tcW w:w="4310" w:type="dxa"/>
          </w:tcPr>
          <w:p w:rsidR="00A26A00" w:rsidRPr="0021395E" w:rsidRDefault="00A26A00" w:rsidP="00C9745E">
            <w:pPr>
              <w:spacing w:after="0"/>
              <w:rPr>
                <w:rFonts w:cs="Arial"/>
              </w:rPr>
            </w:pPr>
            <w:r w:rsidRPr="0021395E">
              <w:rPr>
                <w:rFonts w:cs="Arial"/>
                <w:iCs/>
              </w:rPr>
              <w:t xml:space="preserve">Во моментот на ревизијата, ажурирањето на 11-те наведени интерни акти е веќе во тек од страна на </w:t>
            </w:r>
            <w:r w:rsidRPr="0021395E">
              <w:rPr>
                <w:rFonts w:cs="Arial"/>
              </w:rPr>
              <w:t xml:space="preserve">ново назначените лица за </w:t>
            </w:r>
            <w:r w:rsidRPr="0021395E">
              <w:rPr>
                <w:rFonts w:cs="Arial"/>
                <w:iCs/>
              </w:rPr>
              <w:t>координација на активностите поврзани со заштитата на личните податоци.</w:t>
            </w:r>
          </w:p>
        </w:tc>
        <w:tc>
          <w:tcPr>
            <w:tcW w:w="3956" w:type="dxa"/>
            <w:gridSpan w:val="2"/>
          </w:tcPr>
          <w:p w:rsidR="00A26A00" w:rsidRPr="0021395E" w:rsidRDefault="00A26A00" w:rsidP="00C9745E">
            <w:pPr>
              <w:spacing w:after="0"/>
              <w:rPr>
                <w:rFonts w:cs="Arial"/>
              </w:rPr>
            </w:pPr>
            <w:r w:rsidRPr="0021395E">
              <w:rPr>
                <w:rFonts w:cs="Arial"/>
              </w:rPr>
              <w:t xml:space="preserve">11-те документи донесени од Управниот одбор на 09.04.2010 година во врска со заштита на личните податоци, да се ажурираат (од одговорните лица за </w:t>
            </w:r>
            <w:r w:rsidRPr="0021395E">
              <w:rPr>
                <w:rFonts w:cs="Arial"/>
                <w:iCs/>
              </w:rPr>
              <w:t>координација на активностите поврзани со заштитата на личните податоци</w:t>
            </w:r>
            <w:r w:rsidRPr="0021395E">
              <w:rPr>
                <w:rFonts w:cs="Arial"/>
              </w:rPr>
              <w:t>).</w:t>
            </w:r>
          </w:p>
        </w:tc>
        <w:tc>
          <w:tcPr>
            <w:tcW w:w="3384" w:type="dxa"/>
          </w:tcPr>
          <w:p w:rsidR="00A26A00" w:rsidRPr="00812EFC" w:rsidRDefault="00A26A00" w:rsidP="00A26A00">
            <w:pPr>
              <w:pStyle w:val="Default"/>
              <w:jc w:val="center"/>
              <w:rPr>
                <w:rFonts w:asciiTheme="minorHAnsi" w:hAnsiTheme="minorHAnsi" w:cs="Arial"/>
                <w:b/>
                <w:color w:val="auto"/>
                <w:sz w:val="22"/>
                <w:szCs w:val="22"/>
              </w:rPr>
            </w:pPr>
            <w:r w:rsidRPr="00812EFC">
              <w:rPr>
                <w:rFonts w:asciiTheme="minorHAnsi" w:hAnsiTheme="minorHAnsi" w:cs="Arial"/>
                <w:b/>
                <w:color w:val="auto"/>
                <w:sz w:val="22"/>
                <w:szCs w:val="22"/>
              </w:rPr>
              <w:t xml:space="preserve">Во </w:t>
            </w:r>
            <w:r>
              <w:rPr>
                <w:rFonts w:asciiTheme="minorHAnsi" w:hAnsiTheme="minorHAnsi" w:cs="Arial"/>
                <w:b/>
                <w:color w:val="auto"/>
                <w:sz w:val="22"/>
                <w:szCs w:val="22"/>
              </w:rPr>
              <w:t>тек</w:t>
            </w:r>
            <w:r w:rsidR="000A2BD2">
              <w:rPr>
                <w:rFonts w:asciiTheme="minorHAnsi" w:hAnsiTheme="minorHAnsi" w:cs="Arial"/>
                <w:b/>
                <w:color w:val="auto"/>
                <w:sz w:val="22"/>
                <w:szCs w:val="22"/>
              </w:rPr>
              <w:t xml:space="preserve"> – во првата половина од 2016</w:t>
            </w:r>
          </w:p>
        </w:tc>
      </w:tr>
      <w:tr w:rsidR="00A26A00" w:rsidRPr="00C20F45" w:rsidTr="00E7174C">
        <w:tc>
          <w:tcPr>
            <w:tcW w:w="932" w:type="dxa"/>
          </w:tcPr>
          <w:p w:rsidR="00A26A00" w:rsidRPr="00C20F45" w:rsidRDefault="00A26A00" w:rsidP="00C9745E">
            <w:pPr>
              <w:spacing w:after="0"/>
              <w:jc w:val="center"/>
              <w:rPr>
                <w:rFonts w:cs="Arial"/>
              </w:rPr>
            </w:pPr>
            <w:r w:rsidRPr="00C20F45">
              <w:rPr>
                <w:rFonts w:cs="Arial"/>
              </w:rPr>
              <w:lastRenderedPageBreak/>
              <w:t>3</w:t>
            </w:r>
          </w:p>
        </w:tc>
        <w:tc>
          <w:tcPr>
            <w:tcW w:w="4310" w:type="dxa"/>
          </w:tcPr>
          <w:p w:rsidR="00A26A00" w:rsidRPr="0021395E" w:rsidRDefault="00A26A00" w:rsidP="00C9745E">
            <w:pPr>
              <w:spacing w:after="0"/>
              <w:rPr>
                <w:rFonts w:cs="Arial"/>
              </w:rPr>
            </w:pPr>
            <w:r w:rsidRPr="0021395E">
              <w:rPr>
                <w:rFonts w:cs="Arial"/>
              </w:rPr>
              <w:t>Во моментот на ревизијата, во Договорите со обработувачите на збирки на лични податоци на Банката (Македонско кредитно биро, ЕОС Матрикс и Кредит Експрес), не се опфатени сигурноста и доверливоста на информациите во согласност со Законот за заштита на личните податоци.</w:t>
            </w:r>
          </w:p>
        </w:tc>
        <w:tc>
          <w:tcPr>
            <w:tcW w:w="3956" w:type="dxa"/>
            <w:gridSpan w:val="2"/>
          </w:tcPr>
          <w:p w:rsidR="00A26A00" w:rsidRPr="0021395E" w:rsidRDefault="00A26A00" w:rsidP="00C9745E">
            <w:pPr>
              <w:spacing w:after="0"/>
              <w:rPr>
                <w:rFonts w:cs="Arial"/>
              </w:rPr>
            </w:pPr>
            <w:r w:rsidRPr="0021395E">
              <w:rPr>
                <w:rFonts w:cs="Arial"/>
              </w:rPr>
              <w:t>За обработувачите на збирки на лични податоци на Банката (Македонско кредитно биро, ЕОС Матрикс и Кредит Експрес), да се изготват и потпишат Анекси на договорите, во кој би се опфатила сигурноста и доверливоста на информациите во согласност со Законот за заштита на личните податоци.</w:t>
            </w:r>
          </w:p>
        </w:tc>
        <w:tc>
          <w:tcPr>
            <w:tcW w:w="3384" w:type="dxa"/>
          </w:tcPr>
          <w:p w:rsidR="00A26A00" w:rsidRPr="00C20F45" w:rsidRDefault="006C1FCC" w:rsidP="00C9745E">
            <w:pPr>
              <w:pStyle w:val="Default"/>
              <w:jc w:val="center"/>
              <w:rPr>
                <w:rFonts w:asciiTheme="minorHAnsi" w:hAnsiTheme="minorHAnsi" w:cs="Arial"/>
                <w:b/>
                <w:color w:val="auto"/>
                <w:sz w:val="22"/>
                <w:szCs w:val="22"/>
              </w:rPr>
            </w:pPr>
            <w:r>
              <w:rPr>
                <w:rFonts w:asciiTheme="minorHAnsi" w:hAnsiTheme="minorHAnsi" w:cs="Arial"/>
                <w:b/>
                <w:color w:val="auto"/>
                <w:sz w:val="22"/>
                <w:szCs w:val="22"/>
              </w:rPr>
              <w:t xml:space="preserve">Во првата половина од 2016 </w:t>
            </w:r>
            <w:r w:rsidR="00A26A00">
              <w:rPr>
                <w:rFonts w:asciiTheme="minorHAnsi" w:hAnsiTheme="minorHAnsi" w:cs="Arial"/>
                <w:b/>
                <w:color w:val="auto"/>
                <w:sz w:val="22"/>
                <w:szCs w:val="22"/>
              </w:rPr>
              <w:t>година ќе бидат прегледани и реализирани договорите</w:t>
            </w:r>
          </w:p>
        </w:tc>
      </w:tr>
      <w:tr w:rsidR="00A26A00" w:rsidRPr="00C20F45" w:rsidTr="00E7174C">
        <w:tc>
          <w:tcPr>
            <w:tcW w:w="932" w:type="dxa"/>
          </w:tcPr>
          <w:p w:rsidR="00A26A00" w:rsidRPr="00C20F45" w:rsidRDefault="00A26A00" w:rsidP="00C9745E">
            <w:pPr>
              <w:spacing w:after="0"/>
              <w:jc w:val="center"/>
              <w:rPr>
                <w:rFonts w:cs="Arial"/>
              </w:rPr>
            </w:pPr>
            <w:r w:rsidRPr="00C20F45">
              <w:rPr>
                <w:rFonts w:cs="Arial"/>
              </w:rPr>
              <w:t>4</w:t>
            </w:r>
          </w:p>
        </w:tc>
        <w:tc>
          <w:tcPr>
            <w:tcW w:w="4310" w:type="dxa"/>
          </w:tcPr>
          <w:p w:rsidR="00A26A00" w:rsidRPr="0021395E" w:rsidRDefault="00A26A00" w:rsidP="00C9745E">
            <w:pPr>
              <w:spacing w:after="0"/>
              <w:rPr>
                <w:rFonts w:cs="Arial"/>
              </w:rPr>
            </w:pPr>
            <w:r w:rsidRPr="0021395E">
              <w:rPr>
                <w:rFonts w:cs="Arial"/>
              </w:rPr>
              <w:t>Во моментот на ревизијата, Банката нема назначено вработен кој ќе води евиденција за личните податоци кои се дадени на користење на корисник на Банката, и според тоа таква евиденција не се води.</w:t>
            </w:r>
          </w:p>
          <w:p w:rsidR="00A26A00" w:rsidRPr="0021395E" w:rsidRDefault="00A26A00" w:rsidP="00C9745E">
            <w:pPr>
              <w:spacing w:after="0"/>
              <w:rPr>
                <w:rFonts w:cs="Arial"/>
              </w:rPr>
            </w:pPr>
          </w:p>
        </w:tc>
        <w:tc>
          <w:tcPr>
            <w:tcW w:w="3956" w:type="dxa"/>
            <w:gridSpan w:val="2"/>
          </w:tcPr>
          <w:p w:rsidR="00A26A00" w:rsidRPr="0021395E" w:rsidRDefault="00A26A00" w:rsidP="00C9745E">
            <w:pPr>
              <w:spacing w:after="0"/>
              <w:rPr>
                <w:rFonts w:cs="Arial"/>
              </w:rPr>
            </w:pPr>
            <w:r w:rsidRPr="0021395E">
              <w:rPr>
                <w:rFonts w:cs="Arial"/>
              </w:rPr>
              <w:t>Да се назначи од страна на Управниот одбор, вработен кој ќе води евиденција за личните податоци кои се дадени на користење на корисник на Банката, според член 3, став 3 од Упатството за начинот на водење евиденција за личните податоци кои се дадени на користење.</w:t>
            </w:r>
          </w:p>
          <w:p w:rsidR="00A26A00" w:rsidRPr="0021395E" w:rsidRDefault="00A26A00" w:rsidP="00C9745E">
            <w:pPr>
              <w:spacing w:after="0"/>
              <w:rPr>
                <w:rFonts w:cs="Arial"/>
                <w:lang w:val="en-US"/>
              </w:rPr>
            </w:pPr>
            <w:r w:rsidRPr="0021395E">
              <w:rPr>
                <w:rFonts w:cs="Arial"/>
              </w:rPr>
              <w:t>Назначениот вработен да води евиденција за личните податоци кои се дадени на користење на корисник на Банката, според член 3, став 1 и 2 од Упатството за начинот на водење евиденција за личните податоци кои се дадени на користење.</w:t>
            </w:r>
          </w:p>
        </w:tc>
        <w:tc>
          <w:tcPr>
            <w:tcW w:w="3384" w:type="dxa"/>
          </w:tcPr>
          <w:p w:rsidR="00A26A00" w:rsidRPr="00C20F45" w:rsidRDefault="00ED58F0" w:rsidP="00C9745E">
            <w:pPr>
              <w:pStyle w:val="Default"/>
              <w:jc w:val="center"/>
              <w:rPr>
                <w:rFonts w:asciiTheme="minorHAnsi" w:hAnsiTheme="minorHAnsi" w:cs="Arial"/>
                <w:b/>
                <w:color w:val="auto"/>
                <w:sz w:val="22"/>
                <w:szCs w:val="22"/>
              </w:rPr>
            </w:pPr>
            <w:r>
              <w:rPr>
                <w:rFonts w:asciiTheme="minorHAnsi" w:hAnsiTheme="minorHAnsi" w:cs="Arial"/>
                <w:b/>
                <w:color w:val="auto"/>
                <w:sz w:val="22"/>
                <w:szCs w:val="22"/>
              </w:rPr>
              <w:t xml:space="preserve">Во првата половина од 2016 </w:t>
            </w:r>
            <w:r w:rsidR="00A26A00">
              <w:rPr>
                <w:rFonts w:asciiTheme="minorHAnsi" w:hAnsiTheme="minorHAnsi" w:cs="Arial"/>
                <w:b/>
                <w:color w:val="auto"/>
                <w:sz w:val="22"/>
                <w:szCs w:val="22"/>
              </w:rPr>
              <w:t>година, со ревидирање на Упатството за начинот на водење евиденција за личните податоци кои се дадени за користење</w:t>
            </w:r>
          </w:p>
        </w:tc>
      </w:tr>
      <w:tr w:rsidR="00A26A00" w:rsidRPr="00C20F45" w:rsidTr="00E7174C">
        <w:tc>
          <w:tcPr>
            <w:tcW w:w="932" w:type="dxa"/>
          </w:tcPr>
          <w:p w:rsidR="00A26A00" w:rsidRPr="00C20F45" w:rsidRDefault="00A26A00" w:rsidP="00C9745E">
            <w:pPr>
              <w:spacing w:after="0"/>
              <w:jc w:val="center"/>
              <w:rPr>
                <w:rFonts w:cs="Arial"/>
              </w:rPr>
            </w:pPr>
            <w:r w:rsidRPr="00C20F45">
              <w:rPr>
                <w:rFonts w:cs="Arial"/>
              </w:rPr>
              <w:lastRenderedPageBreak/>
              <w:t>5</w:t>
            </w:r>
          </w:p>
        </w:tc>
        <w:tc>
          <w:tcPr>
            <w:tcW w:w="4310" w:type="dxa"/>
          </w:tcPr>
          <w:p w:rsidR="00A26A00" w:rsidRPr="0021395E" w:rsidRDefault="00A26A00" w:rsidP="00C9745E">
            <w:pPr>
              <w:spacing w:after="0"/>
              <w:rPr>
                <w:rFonts w:cs="Arial"/>
                <w:iCs/>
              </w:rPr>
            </w:pPr>
            <w:r w:rsidRPr="0021395E">
              <w:rPr>
                <w:rFonts w:cs="Arial"/>
                <w:iCs/>
              </w:rPr>
              <w:t xml:space="preserve">Во моментот </w:t>
            </w:r>
            <w:r w:rsidRPr="0021395E">
              <w:rPr>
                <w:rFonts w:cs="Arial"/>
              </w:rPr>
              <w:t xml:space="preserve">на ревизијата, ново назначените лица за </w:t>
            </w:r>
            <w:r w:rsidRPr="0021395E">
              <w:rPr>
                <w:rFonts w:cs="Arial"/>
                <w:iCs/>
              </w:rPr>
              <w:t xml:space="preserve">координација на активностите поврзани со заштитата на личните податоци немаа посетено </w:t>
            </w:r>
            <w:r w:rsidRPr="0021395E">
              <w:rPr>
                <w:rFonts w:cs="Arial"/>
                <w:b/>
                <w:iCs/>
              </w:rPr>
              <w:t>екстерна</w:t>
            </w:r>
            <w:r w:rsidRPr="0021395E">
              <w:rPr>
                <w:rFonts w:cs="Arial"/>
                <w:iCs/>
              </w:rPr>
              <w:t xml:space="preserve"> обука во организација на Дирекција за заштита на личните податоци, и истите немаа организирано </w:t>
            </w:r>
            <w:r w:rsidRPr="0021395E">
              <w:rPr>
                <w:rFonts w:cs="Arial"/>
                <w:b/>
                <w:iCs/>
              </w:rPr>
              <w:t>интерна</w:t>
            </w:r>
            <w:r w:rsidRPr="0021395E">
              <w:rPr>
                <w:rFonts w:cs="Arial"/>
                <w:iCs/>
              </w:rPr>
              <w:t xml:space="preserve"> обука за дел од вработените на истата тема, поради тоа што одговорните лица се назначени на овие функции на 17.10.2013 година.</w:t>
            </w:r>
          </w:p>
        </w:tc>
        <w:tc>
          <w:tcPr>
            <w:tcW w:w="3956" w:type="dxa"/>
            <w:gridSpan w:val="2"/>
          </w:tcPr>
          <w:p w:rsidR="00A26A00" w:rsidRPr="0021395E" w:rsidRDefault="00A26A00" w:rsidP="00C9745E">
            <w:pPr>
              <w:spacing w:after="0"/>
              <w:rPr>
                <w:rFonts w:cs="Arial"/>
                <w:iCs/>
              </w:rPr>
            </w:pPr>
            <w:r w:rsidRPr="0021395E">
              <w:rPr>
                <w:rFonts w:cs="Arial"/>
              </w:rPr>
              <w:t xml:space="preserve">Да се посетува </w:t>
            </w:r>
            <w:r w:rsidRPr="0021395E">
              <w:rPr>
                <w:rFonts w:cs="Arial"/>
                <w:b/>
              </w:rPr>
              <w:t>екстерна</w:t>
            </w:r>
            <w:r w:rsidRPr="0021395E">
              <w:rPr>
                <w:rFonts w:cs="Arial"/>
              </w:rPr>
              <w:t xml:space="preserve"> обука од страна на ново назначените лица за </w:t>
            </w:r>
            <w:r w:rsidRPr="0021395E">
              <w:rPr>
                <w:rFonts w:cs="Arial"/>
                <w:iCs/>
              </w:rPr>
              <w:t xml:space="preserve">координација на активностите поврзани со заштитата на личните податоци, во организација на Дирекција за заштита на личните податоци, како и да се организира </w:t>
            </w:r>
            <w:r w:rsidRPr="0021395E">
              <w:rPr>
                <w:rFonts w:cs="Arial"/>
                <w:b/>
                <w:iCs/>
              </w:rPr>
              <w:t>интерна</w:t>
            </w:r>
            <w:r w:rsidRPr="0021395E">
              <w:rPr>
                <w:rFonts w:cs="Arial"/>
                <w:iCs/>
              </w:rPr>
              <w:t xml:space="preserve"> обука од </w:t>
            </w:r>
            <w:r w:rsidRPr="0021395E">
              <w:rPr>
                <w:rFonts w:cs="Arial"/>
              </w:rPr>
              <w:t>истите лица</w:t>
            </w:r>
            <w:r w:rsidRPr="0021395E">
              <w:rPr>
                <w:rFonts w:cs="Arial"/>
                <w:iCs/>
              </w:rPr>
              <w:t xml:space="preserve"> за дел од вработените во Банката, како и да се </w:t>
            </w:r>
            <w:r w:rsidRPr="0021395E">
              <w:rPr>
                <w:rFonts w:cs="Arial"/>
                <w:b/>
                <w:iCs/>
              </w:rPr>
              <w:t>информираат</w:t>
            </w:r>
            <w:r w:rsidRPr="0021395E">
              <w:rPr>
                <w:rFonts w:cs="Arial"/>
                <w:iCs/>
              </w:rPr>
              <w:t xml:space="preserve"> сите вработени преку емаил за сите специфични и нови барања на законската регулатива во врска со заштитата на личните податоци.</w:t>
            </w:r>
          </w:p>
        </w:tc>
        <w:tc>
          <w:tcPr>
            <w:tcW w:w="3384" w:type="dxa"/>
          </w:tcPr>
          <w:p w:rsidR="00A26A00" w:rsidRPr="0035206C" w:rsidRDefault="00ED58F0" w:rsidP="00C9745E">
            <w:pPr>
              <w:pStyle w:val="Default"/>
              <w:jc w:val="center"/>
              <w:rPr>
                <w:rFonts w:asciiTheme="minorHAnsi" w:hAnsiTheme="minorHAnsi" w:cs="Arial"/>
                <w:b/>
                <w:color w:val="auto"/>
                <w:sz w:val="22"/>
                <w:szCs w:val="22"/>
              </w:rPr>
            </w:pPr>
            <w:r>
              <w:rPr>
                <w:rFonts w:asciiTheme="minorHAnsi" w:hAnsiTheme="minorHAnsi" w:cs="Arial"/>
                <w:b/>
                <w:color w:val="auto"/>
                <w:sz w:val="22"/>
                <w:szCs w:val="22"/>
              </w:rPr>
              <w:t>Усогласено</w:t>
            </w:r>
          </w:p>
        </w:tc>
      </w:tr>
      <w:tr w:rsidR="00A26A00" w:rsidRPr="00C20F45" w:rsidTr="00E7174C">
        <w:tc>
          <w:tcPr>
            <w:tcW w:w="932" w:type="dxa"/>
          </w:tcPr>
          <w:p w:rsidR="00A26A00" w:rsidRPr="00C20F45" w:rsidRDefault="00A26A00" w:rsidP="00C9745E">
            <w:pPr>
              <w:spacing w:after="0"/>
              <w:jc w:val="center"/>
              <w:rPr>
                <w:rFonts w:cs="Arial"/>
              </w:rPr>
            </w:pPr>
            <w:r w:rsidRPr="00C20F45">
              <w:rPr>
                <w:rFonts w:cs="Arial"/>
              </w:rPr>
              <w:t>6</w:t>
            </w:r>
          </w:p>
        </w:tc>
        <w:tc>
          <w:tcPr>
            <w:tcW w:w="4576" w:type="dxa"/>
            <w:gridSpan w:val="2"/>
          </w:tcPr>
          <w:p w:rsidR="00A26A00" w:rsidRPr="0021395E" w:rsidRDefault="00A26A00" w:rsidP="00C9745E">
            <w:pPr>
              <w:spacing w:after="0"/>
              <w:rPr>
                <w:rFonts w:cs="Arial"/>
              </w:rPr>
            </w:pPr>
            <w:r w:rsidRPr="0021395E">
              <w:rPr>
                <w:rFonts w:cs="Arial"/>
              </w:rPr>
              <w:t>Во моментот на ревизијата, во интерните акти на Банката не е предвиден Образец за пријавување инциденти кои влијаеле или можеле да влијаат на тајноста и заштитата на личните податоци кои се обработуваат во Банката, кој би го олеснил пријавувањето, реакцијата и санирањето на таквите инциденти.</w:t>
            </w:r>
          </w:p>
          <w:p w:rsidR="00A26A00" w:rsidRPr="0021395E" w:rsidRDefault="00A26A00" w:rsidP="00C9745E">
            <w:pPr>
              <w:spacing w:after="0"/>
              <w:rPr>
                <w:rFonts w:cs="Arial"/>
              </w:rPr>
            </w:pPr>
          </w:p>
        </w:tc>
        <w:tc>
          <w:tcPr>
            <w:tcW w:w="3690" w:type="dxa"/>
          </w:tcPr>
          <w:p w:rsidR="00A26A00" w:rsidRPr="0021395E" w:rsidRDefault="00A26A00" w:rsidP="00C9745E">
            <w:pPr>
              <w:spacing w:after="0"/>
              <w:rPr>
                <w:rFonts w:cs="Arial"/>
              </w:rPr>
            </w:pPr>
            <w:r w:rsidRPr="0021395E">
              <w:rPr>
                <w:rFonts w:cs="Arial"/>
              </w:rPr>
              <w:t>Да се дополни постоечкото Упатство за пријава на сигурносни инциденти во информативниот систем на Банката во делот - Образец за регистрирање на сигурносни инциденти, како истиот би можел да служи за пријавување инциденти кои влијаеле или можеле да влијаат на тајноста и заштитата на личните податоци кои се обработуваат во Банката; или</w:t>
            </w:r>
          </w:p>
          <w:p w:rsidR="00A26A00" w:rsidRPr="0021395E" w:rsidRDefault="00A26A00" w:rsidP="00C9745E">
            <w:pPr>
              <w:spacing w:after="0"/>
              <w:rPr>
                <w:rFonts w:cs="Arial"/>
              </w:rPr>
            </w:pPr>
            <w:r w:rsidRPr="0021395E">
              <w:rPr>
                <w:rFonts w:cs="Arial"/>
              </w:rPr>
              <w:lastRenderedPageBreak/>
              <w:t>да се дополни постоечкиот Правилник за пријавување, реакција и санирање на инциденти со таков Образец.</w:t>
            </w:r>
          </w:p>
        </w:tc>
        <w:tc>
          <w:tcPr>
            <w:tcW w:w="3384" w:type="dxa"/>
          </w:tcPr>
          <w:p w:rsidR="00A26A00" w:rsidRPr="00C20F45" w:rsidRDefault="00881129" w:rsidP="00C9745E">
            <w:pPr>
              <w:pStyle w:val="Default"/>
              <w:jc w:val="center"/>
              <w:rPr>
                <w:rFonts w:asciiTheme="minorHAnsi" w:hAnsiTheme="minorHAnsi" w:cs="Arial"/>
                <w:color w:val="auto"/>
                <w:sz w:val="22"/>
                <w:szCs w:val="22"/>
              </w:rPr>
            </w:pPr>
            <w:r>
              <w:rPr>
                <w:rFonts w:asciiTheme="minorHAnsi" w:hAnsiTheme="minorHAnsi" w:cs="Arial"/>
                <w:b/>
                <w:color w:val="auto"/>
                <w:sz w:val="22"/>
                <w:szCs w:val="22"/>
              </w:rPr>
              <w:lastRenderedPageBreak/>
              <w:t xml:space="preserve">Во првата половина од 2016 </w:t>
            </w:r>
            <w:r w:rsidR="00A26A00" w:rsidRPr="0035206C">
              <w:rPr>
                <w:rFonts w:asciiTheme="minorHAnsi" w:hAnsiTheme="minorHAnsi" w:cs="Arial"/>
                <w:b/>
                <w:color w:val="auto"/>
                <w:sz w:val="22"/>
                <w:szCs w:val="22"/>
              </w:rPr>
              <w:t>година</w:t>
            </w:r>
            <w:r w:rsidR="00A26A00">
              <w:rPr>
                <w:rFonts w:asciiTheme="minorHAnsi" w:hAnsiTheme="minorHAnsi" w:cs="Arial"/>
                <w:b/>
                <w:color w:val="auto"/>
                <w:sz w:val="22"/>
                <w:szCs w:val="22"/>
              </w:rPr>
              <w:t>, со ревидирање на Правилник за пријавување, реакција и санирање на инциденти</w:t>
            </w:r>
          </w:p>
        </w:tc>
      </w:tr>
      <w:tr w:rsidR="00A26A00" w:rsidRPr="00C20F45" w:rsidTr="00E7174C">
        <w:tc>
          <w:tcPr>
            <w:tcW w:w="932" w:type="dxa"/>
          </w:tcPr>
          <w:p w:rsidR="00A26A00" w:rsidRPr="00C20F45" w:rsidRDefault="00A26A00" w:rsidP="00C9745E">
            <w:pPr>
              <w:spacing w:after="0"/>
              <w:jc w:val="center"/>
              <w:rPr>
                <w:rFonts w:cs="Arial"/>
              </w:rPr>
            </w:pPr>
            <w:r w:rsidRPr="00C20F45">
              <w:rPr>
                <w:rFonts w:cs="Arial"/>
              </w:rPr>
              <w:lastRenderedPageBreak/>
              <w:t>7</w:t>
            </w:r>
          </w:p>
        </w:tc>
        <w:tc>
          <w:tcPr>
            <w:tcW w:w="4576" w:type="dxa"/>
            <w:gridSpan w:val="2"/>
          </w:tcPr>
          <w:p w:rsidR="00A26A00" w:rsidRPr="0021395E" w:rsidRDefault="00A26A00" w:rsidP="00C9745E">
            <w:pPr>
              <w:pStyle w:val="ListParagraph"/>
              <w:tabs>
                <w:tab w:val="left" w:pos="1935"/>
              </w:tabs>
              <w:spacing w:after="0"/>
              <w:ind w:left="0"/>
              <w:rPr>
                <w:rFonts w:cs="Arial"/>
              </w:rPr>
            </w:pPr>
            <w:r w:rsidRPr="0021395E">
              <w:rPr>
                <w:rFonts w:cs="Arial"/>
              </w:rPr>
              <w:t>Во моментот на ревизијата, Интерните акти на Банката за видео надзор не содржат нацрти од кои се гледа каде се инсталирани видео камерите, ниту објаснение за причините поради кои се така наместени. Понатаму, истите процедури не содржат и одредби за аудио надзорот.</w:t>
            </w:r>
          </w:p>
        </w:tc>
        <w:tc>
          <w:tcPr>
            <w:tcW w:w="3690" w:type="dxa"/>
          </w:tcPr>
          <w:p w:rsidR="00A26A00" w:rsidRPr="0021395E" w:rsidRDefault="00A26A00" w:rsidP="00C9745E">
            <w:pPr>
              <w:spacing w:after="0"/>
              <w:rPr>
                <w:rFonts w:cs="Arial"/>
              </w:rPr>
            </w:pPr>
            <w:r w:rsidRPr="0021395E">
              <w:rPr>
                <w:rFonts w:cs="Arial"/>
              </w:rPr>
              <w:t>Интерните акти на Банката за видео надзор да се дополнат со нацртите од кои се гледа каде се инсталирани видео камерите, како и објаснение за причините поради кои се така наместени. Понатаму, во истите процедури да се опфати и аудио надзорот.</w:t>
            </w:r>
          </w:p>
        </w:tc>
        <w:tc>
          <w:tcPr>
            <w:tcW w:w="3384" w:type="dxa"/>
          </w:tcPr>
          <w:p w:rsidR="00A26A00" w:rsidRPr="00C20F45" w:rsidRDefault="007E0D1B" w:rsidP="00C9745E">
            <w:pPr>
              <w:pStyle w:val="Default"/>
              <w:jc w:val="center"/>
              <w:rPr>
                <w:rFonts w:asciiTheme="minorHAnsi" w:hAnsiTheme="minorHAnsi" w:cs="Arial"/>
                <w:color w:val="auto"/>
                <w:sz w:val="22"/>
                <w:szCs w:val="22"/>
              </w:rPr>
            </w:pPr>
            <w:r>
              <w:rPr>
                <w:rFonts w:asciiTheme="minorHAnsi" w:hAnsiTheme="minorHAnsi" w:cs="Arial"/>
                <w:b/>
                <w:color w:val="auto"/>
                <w:sz w:val="22"/>
                <w:szCs w:val="22"/>
              </w:rPr>
              <w:t xml:space="preserve">Во првата половина од 2016 </w:t>
            </w:r>
            <w:r w:rsidR="00A26A00" w:rsidRPr="0035206C">
              <w:rPr>
                <w:rFonts w:asciiTheme="minorHAnsi" w:hAnsiTheme="minorHAnsi" w:cs="Arial"/>
                <w:b/>
                <w:color w:val="auto"/>
                <w:sz w:val="22"/>
                <w:szCs w:val="22"/>
              </w:rPr>
              <w:t>година</w:t>
            </w:r>
          </w:p>
        </w:tc>
      </w:tr>
      <w:tr w:rsidR="00A26A00" w:rsidRPr="00C20F45" w:rsidTr="00E7174C">
        <w:tc>
          <w:tcPr>
            <w:tcW w:w="932" w:type="dxa"/>
          </w:tcPr>
          <w:p w:rsidR="00A26A00" w:rsidRPr="00C20F45" w:rsidRDefault="00A26A00" w:rsidP="00C9745E">
            <w:pPr>
              <w:spacing w:after="0"/>
              <w:jc w:val="center"/>
              <w:rPr>
                <w:rFonts w:cs="Arial"/>
              </w:rPr>
            </w:pPr>
            <w:r w:rsidRPr="00C20F45">
              <w:rPr>
                <w:rFonts w:cs="Arial"/>
              </w:rPr>
              <w:t>8</w:t>
            </w:r>
          </w:p>
        </w:tc>
        <w:tc>
          <w:tcPr>
            <w:tcW w:w="4576" w:type="dxa"/>
            <w:gridSpan w:val="2"/>
          </w:tcPr>
          <w:p w:rsidR="00A26A00" w:rsidRPr="0021395E" w:rsidRDefault="00A26A00" w:rsidP="00C9745E">
            <w:pPr>
              <w:spacing w:after="0"/>
              <w:rPr>
                <w:rFonts w:cs="Arial"/>
              </w:rPr>
            </w:pPr>
            <w:r w:rsidRPr="0021395E">
              <w:rPr>
                <w:rFonts w:cs="Arial"/>
              </w:rPr>
              <w:t>Службата за ВР со тековната внатрешна ревизија утврди, преку тестирање на селектираниот примерок,  дека досиејата за кредити на корпоративни клиенти ги содржат во голема мера сите неопходни документи според интерните акти, односно се подобрени во однос на претходната ревизија, но со следниве исклучоци:</w:t>
            </w:r>
          </w:p>
          <w:p w:rsidR="00A26A00" w:rsidRPr="0021395E" w:rsidRDefault="00A26A00" w:rsidP="00C9745E">
            <w:pPr>
              <w:pStyle w:val="ListParagraph"/>
              <w:numPr>
                <w:ilvl w:val="0"/>
                <w:numId w:val="13"/>
              </w:numPr>
              <w:spacing w:after="0"/>
              <w:rPr>
                <w:rFonts w:cs="Arial"/>
              </w:rPr>
            </w:pPr>
            <w:r w:rsidRPr="0021395E">
              <w:rPr>
                <w:rFonts w:cs="Arial"/>
              </w:rPr>
              <w:t>Апликација изработена од Банката недостасува во едно досие (Солар Парк ДОО Битола);</w:t>
            </w:r>
          </w:p>
          <w:p w:rsidR="00A26A00" w:rsidRPr="0021395E" w:rsidRDefault="00A26A00" w:rsidP="00C9745E">
            <w:pPr>
              <w:pStyle w:val="ListParagraph"/>
              <w:numPr>
                <w:ilvl w:val="0"/>
                <w:numId w:val="13"/>
              </w:numPr>
              <w:spacing w:after="0"/>
              <w:rPr>
                <w:rFonts w:cs="Arial"/>
              </w:rPr>
            </w:pPr>
            <w:r w:rsidRPr="0021395E">
              <w:rPr>
                <w:rFonts w:cs="Arial"/>
              </w:rPr>
              <w:t xml:space="preserve">Мислење од Сектор за управување </w:t>
            </w:r>
            <w:r w:rsidRPr="0021395E">
              <w:rPr>
                <w:rFonts w:cs="Arial"/>
              </w:rPr>
              <w:lastRenderedPageBreak/>
              <w:t>ризици недостасува во 2 досиеја (Солар Парк ДОО Битола и Калојани ДОО Скопје);</w:t>
            </w:r>
          </w:p>
          <w:p w:rsidR="00A26A00" w:rsidRPr="0021395E" w:rsidRDefault="00A26A00" w:rsidP="00C9745E">
            <w:pPr>
              <w:pStyle w:val="ListParagraph"/>
              <w:numPr>
                <w:ilvl w:val="0"/>
                <w:numId w:val="13"/>
              </w:numPr>
              <w:spacing w:after="0"/>
              <w:rPr>
                <w:rFonts w:cs="Arial"/>
              </w:rPr>
            </w:pPr>
            <w:r w:rsidRPr="0021395E">
              <w:rPr>
                <w:rFonts w:cs="Arial"/>
              </w:rPr>
              <w:t>Осигурување на недвижност винкулирано на Банката недостасува во 2 досиеја (Неа Пласт-Ком Тетово и Америцан Цонструцтион ДОО Скопје);</w:t>
            </w:r>
          </w:p>
          <w:p w:rsidR="00A26A00" w:rsidRPr="0021395E" w:rsidRDefault="00A26A00" w:rsidP="00C9745E">
            <w:pPr>
              <w:pStyle w:val="ListParagraph"/>
              <w:numPr>
                <w:ilvl w:val="0"/>
                <w:numId w:val="13"/>
              </w:numPr>
              <w:spacing w:after="0"/>
              <w:rPr>
                <w:rFonts w:cs="Arial"/>
              </w:rPr>
            </w:pPr>
            <w:r w:rsidRPr="0021395E">
              <w:rPr>
                <w:rFonts w:cs="Arial"/>
              </w:rPr>
              <w:t>Писмени извештаи од извршена посета (мониторинг) на клиентот недостасуваат во сите тестирани досиеја;</w:t>
            </w:r>
          </w:p>
          <w:p w:rsidR="00A26A00" w:rsidRPr="0021395E" w:rsidRDefault="00A26A00" w:rsidP="00C9745E">
            <w:pPr>
              <w:pStyle w:val="ListParagraph"/>
              <w:numPr>
                <w:ilvl w:val="0"/>
                <w:numId w:val="13"/>
              </w:numPr>
              <w:spacing w:after="0"/>
              <w:rPr>
                <w:rFonts w:cs="Arial"/>
              </w:rPr>
            </w:pPr>
            <w:r w:rsidRPr="0021395E">
              <w:rPr>
                <w:rFonts w:cs="Arial"/>
              </w:rPr>
              <w:t>Финансиски извештаи недостасуваат во 2 досиеја (Солар Парк ДОО Битола и Калојани ДОО Скопје).</w:t>
            </w:r>
          </w:p>
        </w:tc>
        <w:tc>
          <w:tcPr>
            <w:tcW w:w="3690" w:type="dxa"/>
          </w:tcPr>
          <w:p w:rsidR="00A26A00" w:rsidRPr="0021395E" w:rsidRDefault="00A26A00" w:rsidP="00C9745E">
            <w:pPr>
              <w:spacing w:after="0"/>
              <w:rPr>
                <w:rFonts w:cs="Arial"/>
              </w:rPr>
            </w:pPr>
            <w:r w:rsidRPr="0021395E">
              <w:rPr>
                <w:rFonts w:cs="Arial"/>
              </w:rPr>
              <w:lastRenderedPageBreak/>
              <w:t>Да се внимава на комплетноста на досиејата за кредити на корпоративни клиенти.</w:t>
            </w:r>
          </w:p>
          <w:p w:rsidR="00A26A00" w:rsidRPr="0021395E" w:rsidRDefault="00A26A00" w:rsidP="00C9745E">
            <w:pPr>
              <w:spacing w:after="0"/>
              <w:rPr>
                <w:rFonts w:cs="Arial"/>
              </w:rPr>
            </w:pPr>
          </w:p>
        </w:tc>
        <w:tc>
          <w:tcPr>
            <w:tcW w:w="3384" w:type="dxa"/>
          </w:tcPr>
          <w:p w:rsidR="00A26A00" w:rsidRPr="00C20F45" w:rsidRDefault="00A26A00" w:rsidP="00C9745E">
            <w:pPr>
              <w:pStyle w:val="Default"/>
              <w:jc w:val="center"/>
              <w:rPr>
                <w:rFonts w:asciiTheme="minorHAnsi" w:hAnsiTheme="minorHAnsi" w:cs="Arial"/>
                <w:b/>
                <w:color w:val="auto"/>
                <w:sz w:val="22"/>
                <w:szCs w:val="22"/>
              </w:rPr>
            </w:pPr>
            <w:r>
              <w:rPr>
                <w:rFonts w:asciiTheme="minorHAnsi" w:hAnsiTheme="minorHAnsi" w:cs="Arial"/>
                <w:b/>
                <w:color w:val="auto"/>
                <w:sz w:val="22"/>
                <w:szCs w:val="22"/>
              </w:rPr>
              <w:t>Континуиран процес – ќе се провери во наредниот период</w:t>
            </w:r>
          </w:p>
        </w:tc>
      </w:tr>
      <w:tr w:rsidR="00A26A00" w:rsidRPr="00C20F45" w:rsidTr="00E7174C">
        <w:tc>
          <w:tcPr>
            <w:tcW w:w="932" w:type="dxa"/>
          </w:tcPr>
          <w:p w:rsidR="00A26A00" w:rsidRPr="00C20F45" w:rsidRDefault="00A26A00" w:rsidP="00C9745E">
            <w:pPr>
              <w:spacing w:after="0"/>
              <w:jc w:val="center"/>
              <w:rPr>
                <w:rFonts w:cs="Arial"/>
              </w:rPr>
            </w:pPr>
            <w:r>
              <w:lastRenderedPageBreak/>
              <w:br w:type="page"/>
            </w:r>
            <w:r w:rsidRPr="00C20F45">
              <w:rPr>
                <w:rFonts w:cs="Arial"/>
              </w:rPr>
              <w:t>9</w:t>
            </w:r>
          </w:p>
        </w:tc>
        <w:tc>
          <w:tcPr>
            <w:tcW w:w="4576" w:type="dxa"/>
            <w:gridSpan w:val="2"/>
          </w:tcPr>
          <w:p w:rsidR="00A26A00" w:rsidRPr="0021395E" w:rsidRDefault="00A26A00" w:rsidP="00C9745E">
            <w:pPr>
              <w:spacing w:after="0"/>
              <w:rPr>
                <w:rFonts w:cs="Arial"/>
              </w:rPr>
            </w:pPr>
            <w:r w:rsidRPr="0021395E">
              <w:rPr>
                <w:rFonts w:cs="Arial"/>
              </w:rPr>
              <w:t xml:space="preserve">Во неколку случаи, кога се доставувани документи до Надзорен одбор на усвојување, во Апликациите недостасувало </w:t>
            </w:r>
            <w:r w:rsidRPr="0021395E">
              <w:t>Мислење од Сектор за управување со ризици.</w:t>
            </w:r>
          </w:p>
          <w:p w:rsidR="00A26A00" w:rsidRPr="0021395E" w:rsidRDefault="00A26A00" w:rsidP="00C9745E">
            <w:pPr>
              <w:spacing w:after="0"/>
              <w:rPr>
                <w:rFonts w:cs="Arial"/>
              </w:rPr>
            </w:pPr>
          </w:p>
        </w:tc>
        <w:tc>
          <w:tcPr>
            <w:tcW w:w="3690" w:type="dxa"/>
          </w:tcPr>
          <w:p w:rsidR="00A26A00" w:rsidRPr="0021395E" w:rsidRDefault="00A26A00" w:rsidP="00C9745E">
            <w:pPr>
              <w:spacing w:after="0"/>
              <w:rPr>
                <w:rFonts w:cs="Arial"/>
              </w:rPr>
            </w:pPr>
            <w:r w:rsidRPr="0021395E">
              <w:t>Да се внимава на комплетноста на документите за одобрување кредити кога се доставуваат до Надзорен одбор на усвојување, односно да се праќаат задолжително Апликациите со приложено Мислење од Сектор за управување со ризици.</w:t>
            </w:r>
          </w:p>
        </w:tc>
        <w:tc>
          <w:tcPr>
            <w:tcW w:w="3384" w:type="dxa"/>
          </w:tcPr>
          <w:p w:rsidR="00A26A00" w:rsidRPr="00C20F45" w:rsidRDefault="009709A6" w:rsidP="00C9745E">
            <w:pPr>
              <w:pStyle w:val="Default"/>
              <w:jc w:val="center"/>
              <w:rPr>
                <w:rFonts w:asciiTheme="minorHAnsi" w:hAnsiTheme="minorHAnsi" w:cs="Arial"/>
                <w:color w:val="auto"/>
                <w:sz w:val="22"/>
                <w:szCs w:val="22"/>
              </w:rPr>
            </w:pPr>
            <w:r>
              <w:rPr>
                <w:rFonts w:asciiTheme="minorHAnsi" w:hAnsiTheme="minorHAnsi" w:cs="Arial"/>
                <w:b/>
                <w:color w:val="auto"/>
                <w:sz w:val="22"/>
                <w:szCs w:val="22"/>
              </w:rPr>
              <w:t>Усогласено</w:t>
            </w:r>
          </w:p>
        </w:tc>
      </w:tr>
      <w:tr w:rsidR="00A26A00" w:rsidRPr="00C20F45" w:rsidTr="00E7174C">
        <w:tc>
          <w:tcPr>
            <w:tcW w:w="932" w:type="dxa"/>
          </w:tcPr>
          <w:p w:rsidR="00A26A00" w:rsidRPr="00C20F45" w:rsidRDefault="00A26A00" w:rsidP="00C9745E">
            <w:pPr>
              <w:spacing w:after="0"/>
              <w:jc w:val="center"/>
              <w:rPr>
                <w:rFonts w:cs="Arial"/>
              </w:rPr>
            </w:pPr>
            <w:r w:rsidRPr="00C20F45">
              <w:rPr>
                <w:rFonts w:cs="Arial"/>
              </w:rPr>
              <w:t>10</w:t>
            </w:r>
          </w:p>
        </w:tc>
        <w:tc>
          <w:tcPr>
            <w:tcW w:w="4576" w:type="dxa"/>
            <w:gridSpan w:val="2"/>
          </w:tcPr>
          <w:p w:rsidR="00A26A00" w:rsidRPr="0021395E" w:rsidRDefault="00A26A00" w:rsidP="0023363B">
            <w:pPr>
              <w:spacing w:after="0"/>
              <w:rPr>
                <w:rFonts w:cs="Arial"/>
                <w:i/>
                <w:lang w:val="en-US"/>
              </w:rPr>
            </w:pPr>
            <w:r w:rsidRPr="0021395E">
              <w:rPr>
                <w:rFonts w:cs="Arial"/>
              </w:rPr>
              <w:t xml:space="preserve">Во </w:t>
            </w:r>
            <w:r>
              <w:rPr>
                <w:rFonts w:cs="Arial"/>
              </w:rPr>
              <w:t>ревизиите извршени во 201</w:t>
            </w:r>
            <w:r w:rsidR="0023363B">
              <w:rPr>
                <w:rFonts w:cs="Arial"/>
              </w:rPr>
              <w:t>5</w:t>
            </w:r>
            <w:r>
              <w:rPr>
                <w:rFonts w:cs="Arial"/>
              </w:rPr>
              <w:t xml:space="preserve"> година, во некои од експозитурите и шалтерите беше </w:t>
            </w:r>
            <w:r>
              <w:rPr>
                <w:rFonts w:cs="Arial"/>
              </w:rPr>
              <w:lastRenderedPageBreak/>
              <w:t>констатирано надминување на благајничкиот максимум.</w:t>
            </w:r>
          </w:p>
        </w:tc>
        <w:tc>
          <w:tcPr>
            <w:tcW w:w="3690" w:type="dxa"/>
          </w:tcPr>
          <w:p w:rsidR="00A26A00" w:rsidRPr="0021395E" w:rsidRDefault="001D2029" w:rsidP="00C9745E">
            <w:pPr>
              <w:spacing w:after="0"/>
              <w:rPr>
                <w:rFonts w:cs="Arial"/>
              </w:rPr>
            </w:pPr>
            <w:r w:rsidRPr="00081049">
              <w:rPr>
                <w:rFonts w:cs="Arial"/>
              </w:rPr>
              <w:lastRenderedPageBreak/>
              <w:t xml:space="preserve">Да се внимава на благајничкиот максимум за благајната во </w:t>
            </w:r>
            <w:r w:rsidRPr="00081049">
              <w:rPr>
                <w:rFonts w:cs="Arial"/>
              </w:rPr>
              <w:lastRenderedPageBreak/>
              <w:t xml:space="preserve">експозитурите и шалтерите, или да се размисли за зголемување на истиот. </w:t>
            </w:r>
            <w:r w:rsidRPr="00081049">
              <w:rPr>
                <w:rFonts w:cs="Arial"/>
                <w:b/>
                <w:i/>
              </w:rPr>
              <w:t xml:space="preserve">(АМСМ Чаир, </w:t>
            </w:r>
            <w:r>
              <w:rPr>
                <w:rFonts w:cs="Arial"/>
                <w:b/>
                <w:i/>
              </w:rPr>
              <w:t xml:space="preserve">АМСМ Центар, </w:t>
            </w:r>
            <w:r w:rsidRPr="00081049">
              <w:rPr>
                <w:rFonts w:cs="Arial"/>
                <w:b/>
                <w:i/>
              </w:rPr>
              <w:t>УТМС).</w:t>
            </w:r>
          </w:p>
        </w:tc>
        <w:tc>
          <w:tcPr>
            <w:tcW w:w="3384" w:type="dxa"/>
          </w:tcPr>
          <w:p w:rsidR="00A26A00" w:rsidRPr="00C20F45" w:rsidRDefault="00A26A00" w:rsidP="00C9745E">
            <w:pPr>
              <w:pStyle w:val="Default"/>
              <w:jc w:val="center"/>
              <w:rPr>
                <w:rFonts w:asciiTheme="minorHAnsi" w:hAnsiTheme="minorHAnsi" w:cs="Arial"/>
                <w:b/>
                <w:color w:val="auto"/>
                <w:sz w:val="22"/>
                <w:szCs w:val="22"/>
              </w:rPr>
            </w:pPr>
            <w:r>
              <w:rPr>
                <w:rFonts w:asciiTheme="minorHAnsi" w:hAnsiTheme="minorHAnsi" w:cs="Arial"/>
                <w:b/>
                <w:color w:val="auto"/>
                <w:sz w:val="22"/>
                <w:szCs w:val="22"/>
              </w:rPr>
              <w:lastRenderedPageBreak/>
              <w:t>Континуиран процес – ќе се провери во наредниот период</w:t>
            </w:r>
          </w:p>
        </w:tc>
      </w:tr>
      <w:tr w:rsidR="00A26A00" w:rsidRPr="00C20F45" w:rsidTr="00E7174C">
        <w:tc>
          <w:tcPr>
            <w:tcW w:w="932" w:type="dxa"/>
          </w:tcPr>
          <w:p w:rsidR="00A26A00" w:rsidRPr="00C20F45" w:rsidRDefault="00A26A00" w:rsidP="00C9745E">
            <w:pPr>
              <w:spacing w:after="0"/>
              <w:jc w:val="center"/>
              <w:rPr>
                <w:rFonts w:cs="Arial"/>
              </w:rPr>
            </w:pPr>
            <w:r w:rsidRPr="00C20F45">
              <w:rPr>
                <w:rFonts w:cs="Arial"/>
              </w:rPr>
              <w:lastRenderedPageBreak/>
              <w:t>11</w:t>
            </w:r>
          </w:p>
        </w:tc>
        <w:tc>
          <w:tcPr>
            <w:tcW w:w="4576" w:type="dxa"/>
            <w:gridSpan w:val="2"/>
          </w:tcPr>
          <w:p w:rsidR="00A26A00" w:rsidRPr="0021395E" w:rsidRDefault="00A26A00" w:rsidP="00C9745E">
            <w:pPr>
              <w:spacing w:after="0"/>
              <w:rPr>
                <w:rFonts w:cs="Arial"/>
                <w:bCs/>
              </w:rPr>
            </w:pPr>
            <w:r w:rsidRPr="0021395E">
              <w:rPr>
                <w:rFonts w:cs="Arial"/>
                <w:bCs/>
              </w:rPr>
              <w:t>Во моментот на ревизијата, 18 клиенти/правни лица на Банката се без целосно попополнета сопственичка структура.</w:t>
            </w:r>
          </w:p>
          <w:p w:rsidR="00A26A00" w:rsidRPr="0021395E" w:rsidRDefault="00A26A00" w:rsidP="00C9745E">
            <w:pPr>
              <w:spacing w:after="0"/>
              <w:rPr>
                <w:rFonts w:cs="Arial"/>
              </w:rPr>
            </w:pPr>
          </w:p>
        </w:tc>
        <w:tc>
          <w:tcPr>
            <w:tcW w:w="3690" w:type="dxa"/>
          </w:tcPr>
          <w:p w:rsidR="00A26A00" w:rsidRPr="0021395E" w:rsidRDefault="00A26A00" w:rsidP="00C9745E">
            <w:pPr>
              <w:spacing w:after="0"/>
              <w:rPr>
                <w:rFonts w:cs="Arial"/>
                <w:bCs/>
              </w:rPr>
            </w:pPr>
            <w:r w:rsidRPr="0021395E">
              <w:rPr>
                <w:rFonts w:cs="Arial"/>
                <w:bCs/>
              </w:rPr>
              <w:t>Да не се воспоставува деловен однос со клиенти/правни лица без целосно попополнета сопственичка структура. За клиентите/правни лица кои се во моментот на ревизијата без целосно попополнета сопственичка структура, да се бараат неопходните податоци, односно вистински сопственик/физичко лице.</w:t>
            </w:r>
          </w:p>
        </w:tc>
        <w:tc>
          <w:tcPr>
            <w:tcW w:w="3384" w:type="dxa"/>
          </w:tcPr>
          <w:p w:rsidR="00A26A00" w:rsidRPr="00C20F45" w:rsidRDefault="00A26A00" w:rsidP="00C9745E">
            <w:pPr>
              <w:pStyle w:val="Default"/>
              <w:jc w:val="center"/>
              <w:rPr>
                <w:rFonts w:asciiTheme="minorHAnsi" w:hAnsiTheme="minorHAnsi" w:cs="Arial"/>
                <w:b/>
                <w:color w:val="auto"/>
                <w:sz w:val="22"/>
                <w:szCs w:val="22"/>
              </w:rPr>
            </w:pPr>
            <w:r>
              <w:rPr>
                <w:rFonts w:asciiTheme="minorHAnsi" w:hAnsiTheme="minorHAnsi" w:cs="Arial"/>
                <w:b/>
                <w:color w:val="auto"/>
                <w:sz w:val="22"/>
                <w:szCs w:val="22"/>
              </w:rPr>
              <w:t>Континуиран процес – ќе се провери во наредниот период</w:t>
            </w:r>
          </w:p>
        </w:tc>
      </w:tr>
      <w:tr w:rsidR="00A26A00" w:rsidRPr="00C20F45" w:rsidTr="00E7174C">
        <w:tc>
          <w:tcPr>
            <w:tcW w:w="932" w:type="dxa"/>
          </w:tcPr>
          <w:p w:rsidR="00A26A00" w:rsidRPr="00C20F45" w:rsidRDefault="00A26A00" w:rsidP="00C9745E">
            <w:pPr>
              <w:spacing w:after="0"/>
              <w:jc w:val="center"/>
              <w:rPr>
                <w:rFonts w:cs="Arial"/>
              </w:rPr>
            </w:pPr>
            <w:r w:rsidRPr="00C20F45">
              <w:rPr>
                <w:rFonts w:cs="Arial"/>
              </w:rPr>
              <w:t>12</w:t>
            </w:r>
          </w:p>
        </w:tc>
        <w:tc>
          <w:tcPr>
            <w:tcW w:w="4576" w:type="dxa"/>
            <w:gridSpan w:val="2"/>
          </w:tcPr>
          <w:p w:rsidR="00A26A00" w:rsidRPr="0021395E" w:rsidRDefault="00A26A00" w:rsidP="00C9745E">
            <w:pPr>
              <w:spacing w:after="0"/>
              <w:rPr>
                <w:rFonts w:cs="Arial"/>
                <w:bCs/>
              </w:rPr>
            </w:pPr>
            <w:r w:rsidRPr="0021395E">
              <w:rPr>
                <w:rFonts w:cs="Arial"/>
                <w:bCs/>
              </w:rPr>
              <w:t xml:space="preserve">Во периодот од 01.02.2014 – 30.09.2014 година, </w:t>
            </w:r>
            <w:r w:rsidRPr="0021395E">
              <w:rPr>
                <w:rFonts w:cs="Arial"/>
                <w:b/>
                <w:bCs/>
              </w:rPr>
              <w:t>16 клиенти</w:t>
            </w:r>
            <w:r w:rsidRPr="0021395E">
              <w:rPr>
                <w:rFonts w:cs="Arial"/>
                <w:bCs/>
              </w:rPr>
              <w:t xml:space="preserve"> реализирале трансакции во експозитурите на Банката без пополнети Апликации.</w:t>
            </w:r>
          </w:p>
        </w:tc>
        <w:tc>
          <w:tcPr>
            <w:tcW w:w="3690" w:type="dxa"/>
          </w:tcPr>
          <w:p w:rsidR="00A26A00" w:rsidRPr="0021395E" w:rsidRDefault="00A26A00" w:rsidP="00C9745E">
            <w:pPr>
              <w:spacing w:after="0"/>
              <w:rPr>
                <w:rFonts w:cs="Arial"/>
                <w:bCs/>
              </w:rPr>
            </w:pPr>
            <w:r w:rsidRPr="0021395E">
              <w:rPr>
                <w:rFonts w:cs="Arial"/>
                <w:bCs/>
              </w:rPr>
              <w:t xml:space="preserve">Да се внимава, </w:t>
            </w:r>
            <w:r w:rsidRPr="00BB35C7">
              <w:rPr>
                <w:rFonts w:cs="Arial"/>
                <w:b/>
                <w:bCs/>
                <w:i/>
              </w:rPr>
              <w:t>(од страна на вработените во експозитурите на Банката</w:t>
            </w:r>
            <w:r w:rsidRPr="0021395E">
              <w:rPr>
                <w:rFonts w:cs="Arial"/>
                <w:bCs/>
                <w:i/>
              </w:rPr>
              <w:t>)</w:t>
            </w:r>
            <w:r w:rsidRPr="0021395E">
              <w:rPr>
                <w:rFonts w:cs="Arial"/>
                <w:bCs/>
              </w:rPr>
              <w:t>, да не се реализираат трансакции на клиенти кои немаат пополнето Апликација, односно, пред реализирањето на трансакциите да се пополнат Апликациите на истите.</w:t>
            </w:r>
          </w:p>
        </w:tc>
        <w:tc>
          <w:tcPr>
            <w:tcW w:w="3384" w:type="dxa"/>
          </w:tcPr>
          <w:p w:rsidR="00A26A00" w:rsidRPr="00C20F45" w:rsidRDefault="00A26A00" w:rsidP="00C9745E">
            <w:pPr>
              <w:pStyle w:val="Default"/>
              <w:jc w:val="center"/>
              <w:rPr>
                <w:rFonts w:asciiTheme="minorHAnsi" w:hAnsiTheme="minorHAnsi" w:cs="Arial"/>
                <w:color w:val="auto"/>
                <w:sz w:val="22"/>
                <w:szCs w:val="22"/>
              </w:rPr>
            </w:pPr>
            <w:r>
              <w:rPr>
                <w:rFonts w:asciiTheme="minorHAnsi" w:hAnsiTheme="minorHAnsi" w:cs="Arial"/>
                <w:b/>
                <w:color w:val="auto"/>
                <w:sz w:val="22"/>
                <w:szCs w:val="22"/>
              </w:rPr>
              <w:t>Континуиран процес – ќе се провери во наредниот период</w:t>
            </w:r>
          </w:p>
        </w:tc>
      </w:tr>
      <w:tr w:rsidR="00A26A00" w:rsidRPr="00C20F45" w:rsidTr="00E7174C">
        <w:tc>
          <w:tcPr>
            <w:tcW w:w="932" w:type="dxa"/>
          </w:tcPr>
          <w:p w:rsidR="00A26A00" w:rsidRPr="00C20F45" w:rsidRDefault="00A26A00" w:rsidP="00C9745E">
            <w:pPr>
              <w:spacing w:after="0"/>
              <w:jc w:val="center"/>
              <w:rPr>
                <w:rFonts w:cs="Arial"/>
              </w:rPr>
            </w:pPr>
            <w:r w:rsidRPr="00C20F45">
              <w:rPr>
                <w:rFonts w:cs="Arial"/>
              </w:rPr>
              <w:t>13</w:t>
            </w:r>
          </w:p>
        </w:tc>
        <w:tc>
          <w:tcPr>
            <w:tcW w:w="4576" w:type="dxa"/>
            <w:gridSpan w:val="2"/>
          </w:tcPr>
          <w:p w:rsidR="00A26A00" w:rsidRPr="0021395E" w:rsidRDefault="00A26A00" w:rsidP="00C9745E">
            <w:pPr>
              <w:spacing w:after="0"/>
              <w:rPr>
                <w:rFonts w:cs="Arial"/>
              </w:rPr>
            </w:pPr>
            <w:r w:rsidRPr="0021395E">
              <w:rPr>
                <w:rFonts w:cs="Arial"/>
              </w:rPr>
              <w:t xml:space="preserve">Во моментот на ревизијата, иако улогите се поделени помеѓу раководителката и </w:t>
            </w:r>
            <w:r w:rsidRPr="0021395E">
              <w:rPr>
                <w:rFonts w:cs="Arial"/>
              </w:rPr>
              <w:lastRenderedPageBreak/>
              <w:t>референтот одговорен за банкомат, сепак банкоматот се опслужува само од едно лице.</w:t>
            </w:r>
          </w:p>
        </w:tc>
        <w:tc>
          <w:tcPr>
            <w:tcW w:w="3690" w:type="dxa"/>
          </w:tcPr>
          <w:p w:rsidR="00A26A00" w:rsidRPr="0021395E" w:rsidRDefault="00A26A00" w:rsidP="00C9745E">
            <w:pPr>
              <w:spacing w:after="0"/>
              <w:rPr>
                <w:rFonts w:cs="Arial"/>
              </w:rPr>
            </w:pPr>
            <w:r w:rsidRPr="0021395E">
              <w:rPr>
                <w:rFonts w:cs="Arial"/>
              </w:rPr>
              <w:lastRenderedPageBreak/>
              <w:t xml:space="preserve">Да се почитува Процедурата за полнење банкомат, во која е </w:t>
            </w:r>
            <w:r w:rsidRPr="0021395E">
              <w:rPr>
                <w:rFonts w:cs="Arial"/>
              </w:rPr>
              <w:lastRenderedPageBreak/>
              <w:t>наведено дека опслужувањето на банкоматот мора да се изведува во присуство на двајца оператори.</w:t>
            </w:r>
            <w:r>
              <w:rPr>
                <w:rFonts w:cs="Arial"/>
              </w:rPr>
              <w:t xml:space="preserve"> </w:t>
            </w:r>
            <w:r w:rsidRPr="0021395E">
              <w:rPr>
                <w:rFonts w:cs="Arial"/>
                <w:b/>
                <w:i/>
              </w:rPr>
              <w:t>(</w:t>
            </w:r>
            <w:r>
              <w:rPr>
                <w:rFonts w:cs="Arial"/>
                <w:b/>
                <w:i/>
              </w:rPr>
              <w:t>Експозитура Аеродром</w:t>
            </w:r>
            <w:r w:rsidRPr="0021395E">
              <w:rPr>
                <w:rFonts w:cs="Arial"/>
                <w:b/>
                <w:i/>
              </w:rPr>
              <w:t>).</w:t>
            </w:r>
          </w:p>
        </w:tc>
        <w:tc>
          <w:tcPr>
            <w:tcW w:w="3384" w:type="dxa"/>
          </w:tcPr>
          <w:p w:rsidR="00A26A00" w:rsidRPr="00C20F45" w:rsidRDefault="00A26A00" w:rsidP="00C9745E">
            <w:pPr>
              <w:pStyle w:val="Default"/>
              <w:jc w:val="center"/>
              <w:rPr>
                <w:rFonts w:asciiTheme="minorHAnsi" w:hAnsiTheme="minorHAnsi" w:cs="Arial"/>
                <w:color w:val="auto"/>
                <w:sz w:val="22"/>
                <w:szCs w:val="22"/>
              </w:rPr>
            </w:pPr>
            <w:r>
              <w:rPr>
                <w:rFonts w:asciiTheme="minorHAnsi" w:hAnsiTheme="minorHAnsi" w:cs="Arial"/>
                <w:b/>
                <w:color w:val="auto"/>
                <w:sz w:val="22"/>
                <w:szCs w:val="22"/>
              </w:rPr>
              <w:lastRenderedPageBreak/>
              <w:t>Континуиран процес – ќе се провери во наредниот период</w:t>
            </w:r>
          </w:p>
        </w:tc>
      </w:tr>
      <w:tr w:rsidR="00A26A00" w:rsidRPr="00C20F45" w:rsidTr="00E7174C">
        <w:tc>
          <w:tcPr>
            <w:tcW w:w="932" w:type="dxa"/>
          </w:tcPr>
          <w:p w:rsidR="00A26A00" w:rsidRPr="00C20F45" w:rsidRDefault="00A26A00" w:rsidP="00C9745E">
            <w:pPr>
              <w:spacing w:after="0"/>
              <w:jc w:val="center"/>
              <w:rPr>
                <w:rFonts w:cs="Arial"/>
              </w:rPr>
            </w:pPr>
            <w:r w:rsidRPr="00C20F45">
              <w:rPr>
                <w:rFonts w:cs="Arial"/>
              </w:rPr>
              <w:lastRenderedPageBreak/>
              <w:t>14</w:t>
            </w:r>
          </w:p>
        </w:tc>
        <w:tc>
          <w:tcPr>
            <w:tcW w:w="4576" w:type="dxa"/>
            <w:gridSpan w:val="2"/>
          </w:tcPr>
          <w:p w:rsidR="00A26A00" w:rsidRPr="00961527" w:rsidRDefault="00A26A00" w:rsidP="00C9745E">
            <w:pPr>
              <w:spacing w:after="0"/>
              <w:rPr>
                <w:rFonts w:cs="Arial"/>
              </w:rPr>
            </w:pPr>
            <w:r w:rsidRPr="00961527">
              <w:rPr>
                <w:rFonts w:cs="Arial"/>
              </w:rPr>
              <w:t>Во моментот на ревизијата, Процедурата за ликвидносен ризик од јули 2012, (поглавие 4.6 – Утврдување и следење на ликвидносни показатели), не е усогласено со Политика за управување со ликвидносниот ризик, верзија 4 од 25.08.2014, (поглавие 5.3.4 – Систем на лимити на изложеност на ликвидносен ризик) и План за управување со ликвидносен ризик во вонредни услови, верзија 3 од 25.08.2014, (поглавие 3.1.3 – Интерно дефинирани прифатливи нивоа на изложеност (лимити) индикатори за рано предупредување и исклучоци по истите).</w:t>
            </w:r>
          </w:p>
        </w:tc>
        <w:tc>
          <w:tcPr>
            <w:tcW w:w="3690" w:type="dxa"/>
          </w:tcPr>
          <w:p w:rsidR="00A26A00" w:rsidRPr="00961527" w:rsidRDefault="00A26A00" w:rsidP="00C9745E">
            <w:pPr>
              <w:spacing w:after="0"/>
              <w:rPr>
                <w:rFonts w:cs="Arial"/>
              </w:rPr>
            </w:pPr>
            <w:r w:rsidRPr="00961527">
              <w:rPr>
                <w:rFonts w:cs="Arial"/>
              </w:rPr>
              <w:t>Да се ажурира Процедурата за управување со ликвидносен ризик, за да се усогласи со Политиката за управување со ликвидносен ризик и Планот за управување со ликвидносен ризик во вонредни услови, во делот за интерно дефинираните прифатливи нивоа на изложеност на ликвидносен ризик.</w:t>
            </w:r>
          </w:p>
        </w:tc>
        <w:tc>
          <w:tcPr>
            <w:tcW w:w="3384" w:type="dxa"/>
          </w:tcPr>
          <w:p w:rsidR="00137531" w:rsidRPr="00BC3A5F" w:rsidRDefault="00137531" w:rsidP="007739D5">
            <w:pPr>
              <w:rPr>
                <w:b/>
              </w:rPr>
            </w:pPr>
            <w:r>
              <w:rPr>
                <w:b/>
              </w:rPr>
              <w:t>Усогласено</w:t>
            </w:r>
            <w:r w:rsidR="00BD79B6">
              <w:rPr>
                <w:b/>
              </w:rPr>
              <w:t xml:space="preserve"> - </w:t>
            </w:r>
            <w:r w:rsidR="00E96EE0">
              <w:rPr>
                <w:b/>
              </w:rPr>
              <w:t>п</w:t>
            </w:r>
            <w:r w:rsidRPr="00BC3A5F">
              <w:rPr>
                <w:b/>
              </w:rPr>
              <w:t>оследна ревидирана верзија на</w:t>
            </w:r>
            <w:r>
              <w:rPr>
                <w:b/>
              </w:rPr>
              <w:t>:</w:t>
            </w:r>
          </w:p>
          <w:p w:rsidR="00137531" w:rsidRPr="00BC3A5F" w:rsidRDefault="00137531" w:rsidP="007739D5">
            <w:pPr>
              <w:pStyle w:val="ListParagraph"/>
              <w:numPr>
                <w:ilvl w:val="0"/>
                <w:numId w:val="31"/>
              </w:numPr>
              <w:spacing w:after="0" w:line="240" w:lineRule="auto"/>
              <w:contextualSpacing w:val="0"/>
              <w:rPr>
                <w:b/>
              </w:rPr>
            </w:pPr>
            <w:r w:rsidRPr="00BC3A5F">
              <w:rPr>
                <w:b/>
              </w:rPr>
              <w:t>Политиката за управување со ликвидносниот ризик и</w:t>
            </w:r>
          </w:p>
          <w:p w:rsidR="002E05C5" w:rsidRDefault="00137531" w:rsidP="007739D5">
            <w:pPr>
              <w:pStyle w:val="ListParagraph"/>
              <w:numPr>
                <w:ilvl w:val="0"/>
                <w:numId w:val="31"/>
              </w:numPr>
              <w:spacing w:after="0" w:line="240" w:lineRule="auto"/>
              <w:contextualSpacing w:val="0"/>
              <w:rPr>
                <w:b/>
              </w:rPr>
            </w:pPr>
            <w:r w:rsidRPr="002E05C5">
              <w:rPr>
                <w:b/>
              </w:rPr>
              <w:t>Планот за управување со ликвидносниот ризик во вонредни услови</w:t>
            </w:r>
          </w:p>
          <w:p w:rsidR="002E05C5" w:rsidRPr="002E05C5" w:rsidRDefault="002E05C5" w:rsidP="002E05C5">
            <w:pPr>
              <w:pStyle w:val="ListParagraph"/>
              <w:spacing w:after="0" w:line="240" w:lineRule="auto"/>
              <w:contextualSpacing w:val="0"/>
              <w:rPr>
                <w:b/>
              </w:rPr>
            </w:pPr>
          </w:p>
          <w:p w:rsidR="00137531" w:rsidRPr="00BC3A5F" w:rsidRDefault="00137531" w:rsidP="007739D5">
            <w:pPr>
              <w:rPr>
                <w:b/>
              </w:rPr>
            </w:pPr>
            <w:r w:rsidRPr="00BC3A5F">
              <w:rPr>
                <w:b/>
              </w:rPr>
              <w:t>Политиката  и Планот се донесени од УО и одобрени од НО на банката  во јули 2015 год.</w:t>
            </w:r>
          </w:p>
          <w:p w:rsidR="00A26A00" w:rsidRPr="00C20F45" w:rsidRDefault="00137531" w:rsidP="007739D5">
            <w:pPr>
              <w:pStyle w:val="Default"/>
              <w:rPr>
                <w:rFonts w:asciiTheme="minorHAnsi" w:hAnsiTheme="minorHAnsi" w:cs="Arial"/>
                <w:b/>
                <w:color w:val="auto"/>
                <w:sz w:val="22"/>
                <w:szCs w:val="22"/>
              </w:rPr>
            </w:pPr>
            <w:r w:rsidRPr="00BC3A5F">
              <w:rPr>
                <w:rFonts w:asciiTheme="minorHAnsi" w:eastAsia="Calibri" w:hAnsiTheme="minorHAnsi" w:cs="Arial"/>
                <w:b/>
                <w:color w:val="auto"/>
                <w:sz w:val="22"/>
                <w:szCs w:val="22"/>
              </w:rPr>
              <w:t>Новата Процедура за управување со ликвидносен ризик е донесена од УО на 02.10.2015</w:t>
            </w:r>
          </w:p>
        </w:tc>
      </w:tr>
      <w:tr w:rsidR="00A26A00" w:rsidRPr="00C20F45" w:rsidTr="00E7174C">
        <w:tc>
          <w:tcPr>
            <w:tcW w:w="932" w:type="dxa"/>
          </w:tcPr>
          <w:p w:rsidR="00A26A00" w:rsidRPr="00C20F45" w:rsidRDefault="00A26A00" w:rsidP="00C9745E">
            <w:pPr>
              <w:spacing w:after="0"/>
              <w:jc w:val="center"/>
              <w:rPr>
                <w:rFonts w:cs="Arial"/>
              </w:rPr>
            </w:pPr>
            <w:r w:rsidRPr="00C20F45">
              <w:rPr>
                <w:rFonts w:cs="Arial"/>
              </w:rPr>
              <w:t>15</w:t>
            </w:r>
          </w:p>
        </w:tc>
        <w:tc>
          <w:tcPr>
            <w:tcW w:w="4576" w:type="dxa"/>
            <w:gridSpan w:val="2"/>
          </w:tcPr>
          <w:p w:rsidR="00A26A00" w:rsidRPr="00961527" w:rsidRDefault="00A26A00" w:rsidP="00C9745E">
            <w:pPr>
              <w:spacing w:after="0"/>
              <w:rPr>
                <w:rFonts w:cs="Calibri"/>
              </w:rPr>
            </w:pPr>
            <w:r w:rsidRPr="00961527">
              <w:rPr>
                <w:rFonts w:cs="Arial"/>
              </w:rPr>
              <w:t>Во моментот на ревизијата, активностите на тргување (</w:t>
            </w:r>
            <w:r w:rsidRPr="00961527">
              <w:rPr>
                <w:rFonts w:cs="Arial"/>
                <w:lang w:val="en-US"/>
              </w:rPr>
              <w:t>front office</w:t>
            </w:r>
            <w:r w:rsidRPr="00961527">
              <w:rPr>
                <w:rFonts w:cs="Arial"/>
              </w:rPr>
              <w:t>) и заднинското работење во врска со тргувањето (</w:t>
            </w:r>
            <w:r w:rsidRPr="00961527">
              <w:rPr>
                <w:rFonts w:cs="Arial"/>
                <w:lang w:val="en-US"/>
              </w:rPr>
              <w:t>back office</w:t>
            </w:r>
            <w:r w:rsidRPr="00961527">
              <w:rPr>
                <w:rFonts w:cs="Arial"/>
              </w:rPr>
              <w:t>) на ОЕ Средства, ликвидност и тргување се одвиваат во иста просторија</w:t>
            </w:r>
            <w:r w:rsidRPr="00961527">
              <w:rPr>
                <w:rFonts w:cs="Arial"/>
                <w:lang w:val="en-US"/>
              </w:rPr>
              <w:t xml:space="preserve">, </w:t>
            </w:r>
            <w:r w:rsidRPr="00961527">
              <w:rPr>
                <w:rFonts w:cs="Arial"/>
              </w:rPr>
              <w:t xml:space="preserve">што не е во </w:t>
            </w:r>
            <w:r w:rsidRPr="00961527">
              <w:rPr>
                <w:rFonts w:cs="Arial"/>
              </w:rPr>
              <w:lastRenderedPageBreak/>
              <w:t>согласност со</w:t>
            </w:r>
            <w:r w:rsidRPr="00961527">
              <w:rPr>
                <w:rFonts w:cs="Arial"/>
                <w:lang w:val="en-US"/>
              </w:rPr>
              <w:t xml:space="preserve"> </w:t>
            </w:r>
            <w:r w:rsidRPr="00961527">
              <w:rPr>
                <w:rFonts w:cs="Arial"/>
              </w:rPr>
              <w:t>Анекс 6 од Одлуката на НБМ за управување со ризиците, каде во точка 2 е наведено дека овие две активности треба да се одвиваат во физички одделени деловни простории.</w:t>
            </w:r>
          </w:p>
        </w:tc>
        <w:tc>
          <w:tcPr>
            <w:tcW w:w="3690" w:type="dxa"/>
          </w:tcPr>
          <w:p w:rsidR="00A26A00" w:rsidRPr="00961527" w:rsidRDefault="00A26A00" w:rsidP="00C9745E">
            <w:pPr>
              <w:spacing w:after="0"/>
              <w:rPr>
                <w:rFonts w:cs="Arial"/>
              </w:rPr>
            </w:pPr>
            <w:r w:rsidRPr="00961527">
              <w:rPr>
                <w:rFonts w:cs="Arial"/>
              </w:rPr>
              <w:lastRenderedPageBreak/>
              <w:t>Да се одделат физички активностите на тргување (</w:t>
            </w:r>
            <w:r w:rsidRPr="00961527">
              <w:rPr>
                <w:rFonts w:cs="Arial"/>
                <w:lang w:val="en-US"/>
              </w:rPr>
              <w:t>front office</w:t>
            </w:r>
            <w:r w:rsidRPr="00961527">
              <w:rPr>
                <w:rFonts w:cs="Arial"/>
              </w:rPr>
              <w:t>) и заднинското работење во врска со тргувањето (</w:t>
            </w:r>
            <w:r w:rsidRPr="00961527">
              <w:rPr>
                <w:rFonts w:cs="Arial"/>
                <w:lang w:val="en-US"/>
              </w:rPr>
              <w:t>back office</w:t>
            </w:r>
            <w:r w:rsidRPr="00961527">
              <w:rPr>
                <w:rFonts w:cs="Arial"/>
              </w:rPr>
              <w:t xml:space="preserve">) на ОЕ Средства, ликвидност и тргување, </w:t>
            </w:r>
            <w:r w:rsidRPr="00961527">
              <w:rPr>
                <w:rFonts w:cs="Arial"/>
              </w:rPr>
              <w:lastRenderedPageBreak/>
              <w:t>како Банката би била во согласност со Анекс 6 од Одлуката на НБМ за управување со ризиците.</w:t>
            </w:r>
          </w:p>
        </w:tc>
        <w:tc>
          <w:tcPr>
            <w:tcW w:w="3384" w:type="dxa"/>
          </w:tcPr>
          <w:p w:rsidR="00A26A00" w:rsidRPr="004E4C85" w:rsidRDefault="00A26A00" w:rsidP="00C9745E">
            <w:pPr>
              <w:pStyle w:val="Default"/>
              <w:jc w:val="center"/>
              <w:rPr>
                <w:rFonts w:asciiTheme="minorHAnsi" w:hAnsiTheme="minorHAnsi" w:cs="Arial"/>
                <w:b/>
                <w:color w:val="auto"/>
                <w:sz w:val="22"/>
                <w:szCs w:val="22"/>
              </w:rPr>
            </w:pPr>
            <w:r w:rsidRPr="004E4C85">
              <w:rPr>
                <w:rFonts w:asciiTheme="minorHAnsi" w:hAnsiTheme="minorHAnsi" w:cs="Arial"/>
                <w:b/>
                <w:color w:val="auto"/>
                <w:sz w:val="22"/>
                <w:szCs w:val="22"/>
              </w:rPr>
              <w:lastRenderedPageBreak/>
              <w:t>Ќе се спроведе кога/доколку ќе има можност за тоа</w:t>
            </w:r>
          </w:p>
        </w:tc>
      </w:tr>
      <w:tr w:rsidR="00A26A00" w:rsidRPr="00C20F45" w:rsidTr="00E7174C">
        <w:tc>
          <w:tcPr>
            <w:tcW w:w="932" w:type="dxa"/>
          </w:tcPr>
          <w:p w:rsidR="00A26A00" w:rsidRPr="00C20F45" w:rsidRDefault="00A26A00" w:rsidP="00C9745E">
            <w:pPr>
              <w:spacing w:after="0"/>
              <w:jc w:val="center"/>
              <w:rPr>
                <w:rFonts w:cs="Arial"/>
              </w:rPr>
            </w:pPr>
            <w:r w:rsidRPr="00C20F45">
              <w:rPr>
                <w:rFonts w:cs="Arial"/>
              </w:rPr>
              <w:lastRenderedPageBreak/>
              <w:t>16</w:t>
            </w:r>
            <w:r>
              <w:rPr>
                <w:rFonts w:cs="Arial"/>
              </w:rPr>
              <w:t>-од НБРМ по 597</w:t>
            </w:r>
          </w:p>
        </w:tc>
        <w:tc>
          <w:tcPr>
            <w:tcW w:w="4576" w:type="dxa"/>
            <w:gridSpan w:val="2"/>
          </w:tcPr>
          <w:p w:rsidR="00A26A00" w:rsidRPr="001C4537" w:rsidRDefault="00A26A00" w:rsidP="00C9745E">
            <w:pPr>
              <w:spacing w:after="0"/>
              <w:rPr>
                <w:rFonts w:cs="Calibri"/>
              </w:rPr>
            </w:pPr>
            <w:r w:rsidRPr="001C4537">
              <w:rPr>
                <w:rFonts w:cs="Arial"/>
              </w:rPr>
              <w:t xml:space="preserve">Банката е </w:t>
            </w:r>
            <w:r w:rsidRPr="001C4537">
              <w:rPr>
                <w:rFonts w:cs="Arial"/>
                <w:b/>
              </w:rPr>
              <w:t>делумно усогласена</w:t>
            </w:r>
            <w:r w:rsidRPr="001C4537">
              <w:rPr>
                <w:rFonts w:cs="Arial"/>
              </w:rPr>
              <w:t xml:space="preserve"> со точка 1, потточка а) од Писмено предупредување број 597 од 01.10.2014 година, односно, на денот на ревизијата, Банката ја ревидирала Процедурата за работниот тек на кредитниот процес на 30.10.2014, (нова верзија 1.3), со Одлука од Управен одбор број 0203-326/2 од 30.10.2014 година, со што се зајакнати интерните контролни механизми како би се оневозможило преструктуирање на побарувањето/побарувањата чиј нето-ефект може да доведе до зголемување на финансискиот резултат на Банката, но сеуште има простор за подобро имплементирање на истите во пракса.</w:t>
            </w:r>
          </w:p>
        </w:tc>
        <w:tc>
          <w:tcPr>
            <w:tcW w:w="3690" w:type="dxa"/>
          </w:tcPr>
          <w:p w:rsidR="00A26A00" w:rsidRPr="001C4537" w:rsidRDefault="00A26A00" w:rsidP="00A26A00">
            <w:pPr>
              <w:pStyle w:val="ListParagraph"/>
              <w:numPr>
                <w:ilvl w:val="0"/>
                <w:numId w:val="25"/>
              </w:numPr>
              <w:spacing w:after="0"/>
              <w:rPr>
                <w:rFonts w:cs="Arial"/>
              </w:rPr>
            </w:pPr>
            <w:r w:rsidRPr="001C4537">
              <w:rPr>
                <w:rFonts w:cs="Arial"/>
              </w:rPr>
              <w:t>Се задолжува Банката веднаш по приемот на ова писмено предупредување:</w:t>
            </w:r>
          </w:p>
          <w:p w:rsidR="00A26A00" w:rsidRPr="001C4537" w:rsidRDefault="00A26A00" w:rsidP="00A26A00">
            <w:pPr>
              <w:pStyle w:val="ListParagraph"/>
              <w:numPr>
                <w:ilvl w:val="1"/>
                <w:numId w:val="25"/>
              </w:numPr>
              <w:spacing w:after="0"/>
              <w:rPr>
                <w:rFonts w:cs="Arial"/>
                <w:i/>
              </w:rPr>
            </w:pPr>
            <w:r w:rsidRPr="001C4537">
              <w:rPr>
                <w:rFonts w:cs="Arial"/>
              </w:rPr>
              <w:t>да ги зајакне интерните контролни механизми на начин што ќе се оневозможи преструктурирање на побарувањето/побарувањата чиј нето-ефект може да доведе до зголемување на финансискиот резултат на Банката.</w:t>
            </w:r>
          </w:p>
        </w:tc>
        <w:tc>
          <w:tcPr>
            <w:tcW w:w="3384" w:type="dxa"/>
          </w:tcPr>
          <w:p w:rsidR="00A26A00" w:rsidRPr="00FF08F1" w:rsidRDefault="00A26A00" w:rsidP="00C9745E">
            <w:pPr>
              <w:pStyle w:val="Default"/>
              <w:jc w:val="center"/>
              <w:rPr>
                <w:rFonts w:asciiTheme="minorHAnsi" w:hAnsiTheme="minorHAnsi" w:cs="Arial"/>
                <w:b/>
                <w:color w:val="auto"/>
                <w:sz w:val="22"/>
                <w:szCs w:val="22"/>
              </w:rPr>
            </w:pPr>
            <w:r w:rsidRPr="00FF08F1">
              <w:rPr>
                <w:rFonts w:asciiTheme="minorHAnsi" w:hAnsiTheme="minorHAnsi" w:cs="Arial"/>
                <w:b/>
                <w:color w:val="auto"/>
                <w:sz w:val="22"/>
                <w:szCs w:val="22"/>
              </w:rPr>
              <w:t>Делумно усогласено</w:t>
            </w:r>
          </w:p>
        </w:tc>
      </w:tr>
      <w:tr w:rsidR="00A26A00" w:rsidRPr="00C20F45" w:rsidTr="00E7174C">
        <w:tc>
          <w:tcPr>
            <w:tcW w:w="932" w:type="dxa"/>
          </w:tcPr>
          <w:p w:rsidR="00A26A00" w:rsidRPr="00C20F45" w:rsidRDefault="00A26A00" w:rsidP="00C9745E">
            <w:pPr>
              <w:spacing w:after="0"/>
              <w:jc w:val="center"/>
              <w:rPr>
                <w:rFonts w:cs="Arial"/>
              </w:rPr>
            </w:pPr>
            <w:r w:rsidRPr="00C20F45">
              <w:rPr>
                <w:rFonts w:cs="Arial"/>
              </w:rPr>
              <w:t>17</w:t>
            </w:r>
            <w:r>
              <w:rPr>
                <w:rFonts w:cs="Arial"/>
              </w:rPr>
              <w:t>-од НБРМ по 597</w:t>
            </w:r>
          </w:p>
        </w:tc>
        <w:tc>
          <w:tcPr>
            <w:tcW w:w="4576" w:type="dxa"/>
            <w:gridSpan w:val="2"/>
          </w:tcPr>
          <w:p w:rsidR="00A26A00" w:rsidRPr="004A5620" w:rsidRDefault="00A26A00" w:rsidP="00C9745E">
            <w:pPr>
              <w:spacing w:after="0"/>
              <w:jc w:val="both"/>
              <w:rPr>
                <w:rFonts w:cs="Arial"/>
              </w:rPr>
            </w:pPr>
            <w:r w:rsidRPr="004A5620">
              <w:rPr>
                <w:rFonts w:cs="Arial"/>
              </w:rPr>
              <w:t xml:space="preserve">Банката е </w:t>
            </w:r>
            <w:r w:rsidRPr="004A5620">
              <w:rPr>
                <w:rFonts w:cs="Arial"/>
                <w:b/>
              </w:rPr>
              <w:t>делумно усогласена</w:t>
            </w:r>
            <w:r w:rsidRPr="004A5620">
              <w:rPr>
                <w:rFonts w:cs="Arial"/>
              </w:rPr>
              <w:t xml:space="preserve"> со точка 1, потточка б) од Писмено предупредување број 597 од 01.10.2014 година, односно, на денот </w:t>
            </w:r>
            <w:r w:rsidRPr="004A5620">
              <w:rPr>
                <w:rFonts w:cs="Arial"/>
              </w:rPr>
              <w:lastRenderedPageBreak/>
              <w:t>на ревизијата, Банката врши навремен пренос на сметките на сомнителни и спорни побарувања на кредитните изложености коишто доцнат подолго од 90 дена во намирувањето на достасаните обврски. Доколку клиентот уплати дел од обврските достасани пред 90 дена, пред да се достави Извештајот за ССП, истите се сторнираат од ССП и се враќаат на редовни.</w:t>
            </w:r>
            <w:r w:rsidRPr="004A5620">
              <w:rPr>
                <w:rFonts w:cs="Arial"/>
                <w:lang w:val="en-US"/>
              </w:rPr>
              <w:t xml:space="preserve"> </w:t>
            </w:r>
            <w:r w:rsidRPr="004A5620">
              <w:rPr>
                <w:rFonts w:cs="Arial"/>
              </w:rPr>
              <w:t xml:space="preserve">Сепак, клиентите најчесто уплаќаат само </w:t>
            </w:r>
            <w:r w:rsidRPr="004A5620">
              <w:rPr>
                <w:rFonts w:cs="Arial"/>
                <w:b/>
              </w:rPr>
              <w:t>еден ануитет</w:t>
            </w:r>
            <w:r w:rsidRPr="004A5620">
              <w:rPr>
                <w:rFonts w:cs="Arial"/>
              </w:rPr>
              <w:t>, односно не ги уплаќаат сите обврски достасани најмногу до 31 ден, што според Одлука за кредитен ризик е услов да се исклучат од ССП.</w:t>
            </w:r>
          </w:p>
        </w:tc>
        <w:tc>
          <w:tcPr>
            <w:tcW w:w="3690" w:type="dxa"/>
          </w:tcPr>
          <w:p w:rsidR="00A26A00" w:rsidRPr="004A5620" w:rsidRDefault="00A26A00" w:rsidP="00A26A00">
            <w:pPr>
              <w:pStyle w:val="ListParagraph"/>
              <w:numPr>
                <w:ilvl w:val="0"/>
                <w:numId w:val="26"/>
              </w:numPr>
              <w:spacing w:after="0"/>
              <w:rPr>
                <w:rFonts w:cs="Arial"/>
              </w:rPr>
            </w:pPr>
            <w:r w:rsidRPr="004A5620">
              <w:rPr>
                <w:rFonts w:cs="Arial"/>
              </w:rPr>
              <w:lastRenderedPageBreak/>
              <w:t>Се задолжува Банката веднаш по приемот на ова писмено предупредување:</w:t>
            </w:r>
          </w:p>
          <w:p w:rsidR="00A26A00" w:rsidRPr="004A5620" w:rsidRDefault="00A26A00" w:rsidP="00A26A00">
            <w:pPr>
              <w:pStyle w:val="ListParagraph"/>
              <w:numPr>
                <w:ilvl w:val="0"/>
                <w:numId w:val="27"/>
              </w:numPr>
              <w:spacing w:after="0"/>
              <w:rPr>
                <w:rFonts w:cs="Arial"/>
                <w:b/>
                <w:i/>
                <w:u w:val="single"/>
              </w:rPr>
            </w:pPr>
            <w:r w:rsidRPr="004A5620">
              <w:rPr>
                <w:rFonts w:cs="Arial"/>
                <w:i/>
              </w:rPr>
              <w:lastRenderedPageBreak/>
              <w:t>да врши навремен пренос на сметките за сомнителните и спорните побарувања на кредитните изложености коишто доцнат подолго од 90 дена во намирување на достасаните обврски, а не да го зема предвид очекувањето за намирување на обврските.</w:t>
            </w:r>
          </w:p>
        </w:tc>
        <w:tc>
          <w:tcPr>
            <w:tcW w:w="3384" w:type="dxa"/>
          </w:tcPr>
          <w:p w:rsidR="00A26A00" w:rsidRPr="00C20F45" w:rsidRDefault="00A26A00" w:rsidP="00C9745E">
            <w:pPr>
              <w:pStyle w:val="Default"/>
              <w:jc w:val="center"/>
              <w:rPr>
                <w:rFonts w:asciiTheme="minorHAnsi" w:hAnsiTheme="minorHAnsi" w:cs="Arial"/>
                <w:color w:val="auto"/>
                <w:sz w:val="22"/>
                <w:szCs w:val="22"/>
              </w:rPr>
            </w:pPr>
            <w:r w:rsidRPr="00FF08F1">
              <w:rPr>
                <w:rFonts w:asciiTheme="minorHAnsi" w:hAnsiTheme="minorHAnsi" w:cs="Arial"/>
                <w:b/>
                <w:color w:val="auto"/>
                <w:sz w:val="22"/>
                <w:szCs w:val="22"/>
              </w:rPr>
              <w:lastRenderedPageBreak/>
              <w:t>Делумно усогласено</w:t>
            </w:r>
          </w:p>
        </w:tc>
      </w:tr>
      <w:tr w:rsidR="00A26A00" w:rsidRPr="00C20F45" w:rsidTr="00E7174C">
        <w:tc>
          <w:tcPr>
            <w:tcW w:w="932" w:type="dxa"/>
          </w:tcPr>
          <w:p w:rsidR="00A26A00" w:rsidRPr="00C20F45" w:rsidRDefault="00A26A00" w:rsidP="00C9745E">
            <w:pPr>
              <w:spacing w:after="0"/>
              <w:jc w:val="center"/>
              <w:rPr>
                <w:rFonts w:cs="Arial"/>
              </w:rPr>
            </w:pPr>
            <w:r w:rsidRPr="00C20F45">
              <w:rPr>
                <w:rFonts w:cs="Arial"/>
              </w:rPr>
              <w:lastRenderedPageBreak/>
              <w:t>18</w:t>
            </w:r>
            <w:r>
              <w:rPr>
                <w:rFonts w:cs="Arial"/>
              </w:rPr>
              <w:t>-од НБРМ по 597</w:t>
            </w:r>
          </w:p>
        </w:tc>
        <w:tc>
          <w:tcPr>
            <w:tcW w:w="4576" w:type="dxa"/>
            <w:gridSpan w:val="2"/>
          </w:tcPr>
          <w:p w:rsidR="00A26A00" w:rsidRPr="00B0000F" w:rsidRDefault="00A26A00" w:rsidP="00C9745E">
            <w:pPr>
              <w:spacing w:after="0"/>
              <w:rPr>
                <w:rFonts w:cs="Arial"/>
                <w:sz w:val="20"/>
                <w:szCs w:val="20"/>
              </w:rPr>
            </w:pPr>
            <w:r w:rsidRPr="00B0000F">
              <w:rPr>
                <w:rFonts w:cs="Arial"/>
                <w:sz w:val="20"/>
                <w:szCs w:val="20"/>
              </w:rPr>
              <w:t xml:space="preserve">Банката е </w:t>
            </w:r>
            <w:r w:rsidRPr="00B0000F">
              <w:rPr>
                <w:rFonts w:cs="Arial"/>
                <w:b/>
                <w:sz w:val="20"/>
                <w:szCs w:val="20"/>
              </w:rPr>
              <w:t>делумно усогласена</w:t>
            </w:r>
            <w:r w:rsidRPr="00B0000F">
              <w:rPr>
                <w:rFonts w:cs="Arial"/>
                <w:sz w:val="20"/>
                <w:szCs w:val="20"/>
              </w:rPr>
              <w:t xml:space="preserve"> со точка 2, потточка а) од Писмено предупредување број 597 од 01.10.2014 година, односно, на денот на ревизијата, Банката ја ревидирала Процедурата за работниот тек на кредитниот процес на 31.12.2014, (нова верзија 1.4), со Одлука од Управен одбор број 0203-418/2 од 31.12.2014 година, со што се унапредени интерните акти за управување со кредитен ризик на начин што ќе го </w:t>
            </w:r>
            <w:r w:rsidRPr="00B0000F">
              <w:rPr>
                <w:rFonts w:cs="Arial"/>
                <w:sz w:val="20"/>
                <w:szCs w:val="20"/>
              </w:rPr>
              <w:lastRenderedPageBreak/>
              <w:t>дефинира влијанието на показателите за рано предупредување врз процесот на мерење на кредитните загуби, но не може да се потврди дали истото ќе се спроведува во пракса, бидејќи според ревидираната Процедура, мониторингот на показателите за рано предупредување ќе се одвива на 6 месеци, а сеуште не се поминати од усвојувањето на истата.</w:t>
            </w:r>
          </w:p>
        </w:tc>
        <w:tc>
          <w:tcPr>
            <w:tcW w:w="3690" w:type="dxa"/>
          </w:tcPr>
          <w:p w:rsidR="00A26A00" w:rsidRPr="000F6791" w:rsidRDefault="00A26A00" w:rsidP="00A26A00">
            <w:pPr>
              <w:pStyle w:val="ListParagraph"/>
              <w:numPr>
                <w:ilvl w:val="0"/>
                <w:numId w:val="25"/>
              </w:numPr>
              <w:spacing w:after="0"/>
              <w:rPr>
                <w:rFonts w:cs="Arial"/>
                <w:i/>
              </w:rPr>
            </w:pPr>
            <w:r w:rsidRPr="000F6791">
              <w:rPr>
                <w:rFonts w:cs="Arial"/>
                <w:i/>
              </w:rPr>
              <w:lastRenderedPageBreak/>
              <w:t>Се задолжува Банката веднаш по приемот на ова писмено предупредување:</w:t>
            </w:r>
          </w:p>
          <w:p w:rsidR="00A26A00" w:rsidRPr="00FB001B" w:rsidRDefault="00A26A00" w:rsidP="00A26A00">
            <w:pPr>
              <w:pStyle w:val="ListParagraph"/>
              <w:numPr>
                <w:ilvl w:val="1"/>
                <w:numId w:val="28"/>
              </w:numPr>
              <w:spacing w:after="0"/>
              <w:rPr>
                <w:rFonts w:cs="Arial"/>
                <w:b/>
                <w:i/>
              </w:rPr>
            </w:pPr>
            <w:r w:rsidRPr="000F6791">
              <w:rPr>
                <w:rFonts w:cs="Arial"/>
                <w:i/>
              </w:rPr>
              <w:t xml:space="preserve">да ги унапреди интерните акти за управување со кредитен ризик на начин што ќе го дефинира </w:t>
            </w:r>
            <w:r w:rsidRPr="000F6791">
              <w:rPr>
                <w:rFonts w:cs="Arial"/>
                <w:i/>
              </w:rPr>
              <w:lastRenderedPageBreak/>
              <w:t>влијанието на показателите за рано предупредување врз процесот на мерење на кредитните загуби.</w:t>
            </w:r>
          </w:p>
          <w:p w:rsidR="00A26A00" w:rsidRDefault="00A26A00" w:rsidP="00C9745E">
            <w:pPr>
              <w:spacing w:after="0"/>
              <w:rPr>
                <w:rFonts w:cs="Arial"/>
                <w:b/>
                <w:i/>
              </w:rPr>
            </w:pPr>
          </w:p>
          <w:p w:rsidR="00A26A00" w:rsidRDefault="00A26A00" w:rsidP="00C9745E">
            <w:pPr>
              <w:spacing w:after="0"/>
              <w:rPr>
                <w:rFonts w:cs="Arial"/>
                <w:b/>
                <w:i/>
              </w:rPr>
            </w:pPr>
            <w:r>
              <w:rPr>
                <w:rFonts w:cs="Arial"/>
                <w:b/>
                <w:i/>
              </w:rPr>
              <w:t>***</w:t>
            </w:r>
          </w:p>
          <w:p w:rsidR="00A26A00" w:rsidRPr="00FB001B" w:rsidRDefault="00A26A00" w:rsidP="00C9745E">
            <w:pPr>
              <w:spacing w:after="0"/>
              <w:rPr>
                <w:rFonts w:cs="Arial"/>
                <w:b/>
                <w:i/>
              </w:rPr>
            </w:pPr>
            <w:r w:rsidRPr="000F6791">
              <w:rPr>
                <w:rFonts w:cs="Arial"/>
                <w:b/>
              </w:rPr>
              <w:t>Препорака</w:t>
            </w:r>
            <w:r w:rsidRPr="000F6791">
              <w:rPr>
                <w:rFonts w:cs="Arial"/>
              </w:rPr>
              <w:t xml:space="preserve"> на СВР е Секторот за корпоративни клиенти и СМЕ да изготвува извештај за извршениот мониторинг на показателите за рано предупредување на секои 6 месеци и да го проследува до Сектор за управување со ризици, без оглед на тоа дали имало во периодот правни лица со ранопредупредувачки показатели. Ова да се додаде како обврска при следното ревидирање на Процедурата за работниот тек на кредитниот процес.</w:t>
            </w:r>
          </w:p>
        </w:tc>
        <w:tc>
          <w:tcPr>
            <w:tcW w:w="3384" w:type="dxa"/>
          </w:tcPr>
          <w:p w:rsidR="00A26A00" w:rsidRPr="00C20F45" w:rsidRDefault="00A26A00" w:rsidP="00C9745E">
            <w:pPr>
              <w:pStyle w:val="Default"/>
              <w:jc w:val="center"/>
              <w:rPr>
                <w:rFonts w:asciiTheme="minorHAnsi" w:hAnsiTheme="minorHAnsi" w:cs="Arial"/>
                <w:color w:val="auto"/>
                <w:sz w:val="22"/>
                <w:szCs w:val="22"/>
              </w:rPr>
            </w:pPr>
            <w:r w:rsidRPr="00FF08F1">
              <w:rPr>
                <w:rFonts w:asciiTheme="minorHAnsi" w:hAnsiTheme="minorHAnsi" w:cs="Arial"/>
                <w:b/>
                <w:color w:val="auto"/>
                <w:sz w:val="22"/>
                <w:szCs w:val="22"/>
              </w:rPr>
              <w:lastRenderedPageBreak/>
              <w:t>Делумно усогласено</w:t>
            </w:r>
          </w:p>
        </w:tc>
      </w:tr>
      <w:tr w:rsidR="00A26A00" w:rsidRPr="00C20F45" w:rsidTr="00E7174C">
        <w:tc>
          <w:tcPr>
            <w:tcW w:w="932" w:type="dxa"/>
          </w:tcPr>
          <w:p w:rsidR="00A26A00" w:rsidRPr="00C20F45" w:rsidRDefault="00A26A00" w:rsidP="00C9745E">
            <w:pPr>
              <w:spacing w:after="0"/>
              <w:jc w:val="center"/>
              <w:rPr>
                <w:rFonts w:cs="Arial"/>
              </w:rPr>
            </w:pPr>
            <w:r w:rsidRPr="00C20F45">
              <w:rPr>
                <w:rFonts w:cs="Arial"/>
              </w:rPr>
              <w:lastRenderedPageBreak/>
              <w:t>19</w:t>
            </w:r>
            <w:r>
              <w:rPr>
                <w:rFonts w:cs="Arial"/>
              </w:rPr>
              <w:t>-од НБРМ по 597</w:t>
            </w:r>
          </w:p>
        </w:tc>
        <w:tc>
          <w:tcPr>
            <w:tcW w:w="4576" w:type="dxa"/>
            <w:gridSpan w:val="2"/>
          </w:tcPr>
          <w:p w:rsidR="00A26A00" w:rsidRPr="00B0000F" w:rsidRDefault="00A26A00" w:rsidP="00C9745E">
            <w:pPr>
              <w:spacing w:after="0"/>
              <w:rPr>
                <w:rFonts w:cs="Arial"/>
                <w:sz w:val="20"/>
                <w:szCs w:val="20"/>
              </w:rPr>
            </w:pPr>
            <w:r w:rsidRPr="00B0000F">
              <w:rPr>
                <w:rFonts w:cs="Arial"/>
                <w:sz w:val="20"/>
                <w:szCs w:val="20"/>
              </w:rPr>
              <w:t xml:space="preserve">Банката е </w:t>
            </w:r>
            <w:r w:rsidRPr="00B0000F">
              <w:rPr>
                <w:rFonts w:cs="Arial"/>
                <w:b/>
                <w:sz w:val="20"/>
                <w:szCs w:val="20"/>
              </w:rPr>
              <w:t>делумно</w:t>
            </w:r>
            <w:r w:rsidRPr="00B0000F">
              <w:rPr>
                <w:rFonts w:cs="Arial"/>
                <w:sz w:val="20"/>
                <w:szCs w:val="20"/>
              </w:rPr>
              <w:t xml:space="preserve"> </w:t>
            </w:r>
            <w:r w:rsidRPr="00B0000F">
              <w:rPr>
                <w:rFonts w:cs="Arial"/>
                <w:b/>
                <w:sz w:val="20"/>
                <w:szCs w:val="20"/>
              </w:rPr>
              <w:t>усогласена</w:t>
            </w:r>
            <w:r w:rsidRPr="00B0000F">
              <w:rPr>
                <w:rFonts w:cs="Arial"/>
                <w:sz w:val="20"/>
                <w:szCs w:val="20"/>
              </w:rPr>
              <w:t xml:space="preserve"> со точка 2, потточка в) од Писмено предупредување број 597 од 01.10.2014 година, односно, на денот на </w:t>
            </w:r>
            <w:r w:rsidRPr="00B0000F">
              <w:rPr>
                <w:rFonts w:cs="Arial"/>
                <w:sz w:val="20"/>
                <w:szCs w:val="20"/>
              </w:rPr>
              <w:lastRenderedPageBreak/>
              <w:t>ревизијата, ги отстрани во голем дел слабостите во процесот на класификација на изложеноста на кредитниот ризик преку дефинирање на начинот на кој ќе се врши рачната промена на категоријата на ризик утврдена со моделот за класификацијата во ревидираниот интерен акт Процедура за последователно мерење на изложеноста на кредитен ризик и утврдување на исправка на вредност и посебна резерва, верзија 4.0 од 31.12.2014 година, усвоена од Управен одбор со Одлука број 0203-418/3 од 31.12.2014 година, но сеуште има простор за подобрување на интерните акти во дефинирање на начинот на кој се врши рачната промена на категорија на ризик.</w:t>
            </w:r>
          </w:p>
        </w:tc>
        <w:tc>
          <w:tcPr>
            <w:tcW w:w="3690" w:type="dxa"/>
          </w:tcPr>
          <w:p w:rsidR="00A26A00" w:rsidRPr="00D95CDD" w:rsidRDefault="00A26A00" w:rsidP="00A26A00">
            <w:pPr>
              <w:pStyle w:val="ListParagraph"/>
              <w:numPr>
                <w:ilvl w:val="0"/>
                <w:numId w:val="30"/>
              </w:numPr>
              <w:spacing w:after="0"/>
              <w:rPr>
                <w:rFonts w:cs="Arial"/>
                <w:i/>
              </w:rPr>
            </w:pPr>
            <w:r w:rsidRPr="00D95CDD">
              <w:rPr>
                <w:rFonts w:cs="Arial"/>
                <w:i/>
              </w:rPr>
              <w:lastRenderedPageBreak/>
              <w:t>Се задолжува Банката веднаш по приемот на ова писмено предупредување:</w:t>
            </w:r>
          </w:p>
          <w:p w:rsidR="00A26A00" w:rsidRPr="00D95CDD" w:rsidRDefault="00A26A00" w:rsidP="00A26A00">
            <w:pPr>
              <w:pStyle w:val="ListParagraph"/>
              <w:numPr>
                <w:ilvl w:val="0"/>
                <w:numId w:val="29"/>
              </w:numPr>
              <w:spacing w:after="0"/>
              <w:rPr>
                <w:rFonts w:cs="Arial"/>
                <w:i/>
              </w:rPr>
            </w:pPr>
            <w:r w:rsidRPr="00D95CDD">
              <w:rPr>
                <w:rFonts w:cs="Arial"/>
                <w:i/>
              </w:rPr>
              <w:lastRenderedPageBreak/>
              <w:t>да ги отстрани слабостите во процесот на класификација на изложеноста на кредитниот ризик преку дефинирање на начинот на кој ќе се врши рачната промена на категоријата на ризик утврдена со моделот за класификација на Банката.</w:t>
            </w:r>
          </w:p>
        </w:tc>
        <w:tc>
          <w:tcPr>
            <w:tcW w:w="3384" w:type="dxa"/>
          </w:tcPr>
          <w:p w:rsidR="00A26A00" w:rsidRPr="00C20F45" w:rsidRDefault="00A26A00" w:rsidP="00C9745E">
            <w:pPr>
              <w:pStyle w:val="Default"/>
              <w:jc w:val="center"/>
              <w:rPr>
                <w:rFonts w:asciiTheme="minorHAnsi" w:hAnsiTheme="minorHAnsi" w:cs="Arial"/>
                <w:color w:val="auto"/>
                <w:sz w:val="22"/>
                <w:szCs w:val="22"/>
              </w:rPr>
            </w:pPr>
            <w:r w:rsidRPr="00FF08F1">
              <w:rPr>
                <w:rFonts w:asciiTheme="minorHAnsi" w:hAnsiTheme="minorHAnsi" w:cs="Arial"/>
                <w:b/>
                <w:color w:val="auto"/>
                <w:sz w:val="22"/>
                <w:szCs w:val="22"/>
              </w:rPr>
              <w:lastRenderedPageBreak/>
              <w:t>Делумно усогласено</w:t>
            </w:r>
          </w:p>
        </w:tc>
      </w:tr>
      <w:tr w:rsidR="00A26A00" w:rsidRPr="00C20F45" w:rsidTr="00E7174C">
        <w:tc>
          <w:tcPr>
            <w:tcW w:w="932" w:type="dxa"/>
          </w:tcPr>
          <w:p w:rsidR="00A26A00" w:rsidRPr="00C20F45" w:rsidRDefault="00A26A00" w:rsidP="00C9745E">
            <w:pPr>
              <w:spacing w:after="0"/>
              <w:jc w:val="center"/>
              <w:rPr>
                <w:rFonts w:cs="Arial"/>
              </w:rPr>
            </w:pPr>
            <w:r w:rsidRPr="00C20F45">
              <w:rPr>
                <w:rFonts w:cs="Arial"/>
              </w:rPr>
              <w:lastRenderedPageBreak/>
              <w:t>20</w:t>
            </w:r>
          </w:p>
        </w:tc>
        <w:tc>
          <w:tcPr>
            <w:tcW w:w="4576" w:type="dxa"/>
            <w:gridSpan w:val="2"/>
          </w:tcPr>
          <w:p w:rsidR="00A26A00" w:rsidRPr="0043163D" w:rsidRDefault="00A26A00" w:rsidP="00C9745E">
            <w:pPr>
              <w:spacing w:after="0"/>
              <w:rPr>
                <w:rFonts w:cs="Arial"/>
              </w:rPr>
            </w:pPr>
            <w:r w:rsidRPr="0043163D">
              <w:rPr>
                <w:rFonts w:cs="Arial"/>
              </w:rPr>
              <w:t xml:space="preserve">Податоците се влечат од информативниот систем на Банката, што значи дека, освен редовното ажурирање на документацијата во кредитните досиеја на клиентите, истовременото редовно и точно внесување на податоците во ИС на Банката е од исклучителна важност за точно прикажување на побарувањата со пондер на ризичност од 35%. </w:t>
            </w:r>
          </w:p>
        </w:tc>
        <w:tc>
          <w:tcPr>
            <w:tcW w:w="3690" w:type="dxa"/>
          </w:tcPr>
          <w:p w:rsidR="00A26A00" w:rsidRPr="0043163D" w:rsidRDefault="00A26A00" w:rsidP="00C9745E">
            <w:pPr>
              <w:spacing w:after="0"/>
              <w:rPr>
                <w:rFonts w:cs="Arial"/>
              </w:rPr>
            </w:pPr>
            <w:r w:rsidRPr="0043163D">
              <w:rPr>
                <w:rFonts w:cs="Arial"/>
              </w:rPr>
              <w:t xml:space="preserve">Да се продолжи со следење на исполнувањето на дефинираните услови согласно точка 71 од Одлуката за </w:t>
            </w:r>
            <w:r w:rsidRPr="0043163D">
              <w:t>методологијата за утврдување на АК на побарувањата кои се опфатени во образецот АПКР-ПСО со пондер на ризичност 35%, односно да се внимава истите да ги исполнуваат следниве критериуми:</w:t>
            </w:r>
          </w:p>
          <w:p w:rsidR="00A26A00" w:rsidRPr="0043163D" w:rsidRDefault="00A26A00" w:rsidP="00C9745E">
            <w:pPr>
              <w:pStyle w:val="ListParagraph"/>
              <w:numPr>
                <w:ilvl w:val="0"/>
                <w:numId w:val="13"/>
              </w:numPr>
              <w:spacing w:after="0"/>
            </w:pPr>
            <w:r w:rsidRPr="0043163D">
              <w:t xml:space="preserve">хипотеките да се однесуваат </w:t>
            </w:r>
            <w:r w:rsidRPr="0043163D">
              <w:lastRenderedPageBreak/>
              <w:t>на станбен објект во кој живее или ќе живее должникот, или го издава под наем за живеење, врз основа на договор за наем,</w:t>
            </w:r>
          </w:p>
          <w:p w:rsidR="00A26A00" w:rsidRPr="0043163D" w:rsidRDefault="00A26A00" w:rsidP="00C9745E">
            <w:pPr>
              <w:pStyle w:val="ListParagraph"/>
              <w:numPr>
                <w:ilvl w:val="0"/>
                <w:numId w:val="13"/>
              </w:numPr>
              <w:spacing w:after="0"/>
            </w:pPr>
            <w:r w:rsidRPr="0043163D">
              <w:t>вредноста на станбениот објект да не зависи значајно од кредитната способност на должникот,</w:t>
            </w:r>
          </w:p>
          <w:p w:rsidR="00A26A00" w:rsidRPr="0043163D" w:rsidRDefault="00A26A00" w:rsidP="00C9745E">
            <w:pPr>
              <w:pStyle w:val="ListParagraph"/>
              <w:numPr>
                <w:ilvl w:val="0"/>
                <w:numId w:val="13"/>
              </w:numPr>
              <w:spacing w:after="0"/>
            </w:pPr>
            <w:r w:rsidRPr="0043163D">
              <w:t>можноста за наплата на побарувањето да не зависи значајно од паричните приливи коишто настануваат како резултат на користењето на станбениот објект,</w:t>
            </w:r>
          </w:p>
          <w:p w:rsidR="00A26A00" w:rsidRPr="0043163D" w:rsidRDefault="00A26A00" w:rsidP="00C9745E">
            <w:pPr>
              <w:pStyle w:val="ListParagraph"/>
              <w:numPr>
                <w:ilvl w:val="0"/>
                <w:numId w:val="13"/>
              </w:numPr>
              <w:spacing w:after="0"/>
            </w:pPr>
            <w:r w:rsidRPr="0043163D">
              <w:t>да има ажурирани проценки на пазарната вредност на објектот,</w:t>
            </w:r>
          </w:p>
          <w:p w:rsidR="00A26A00" w:rsidRPr="0043163D" w:rsidRDefault="00A26A00" w:rsidP="00C9745E">
            <w:pPr>
              <w:pStyle w:val="ListParagraph"/>
              <w:numPr>
                <w:ilvl w:val="0"/>
                <w:numId w:val="13"/>
              </w:numPr>
              <w:spacing w:after="0"/>
            </w:pPr>
            <w:r w:rsidRPr="0043163D">
              <w:t xml:space="preserve">да има уредна документација за заложениот станбен објект (нотарски акт со прилози за воспоставена хипотека, клаузула за извршност, </w:t>
            </w:r>
            <w:r w:rsidRPr="0043163D">
              <w:lastRenderedPageBreak/>
              <w:t>имотен лист или друг доказ од надлежна институција за воспоставена хипотека, осигурителна полиса винкулирана во корист на Банката), и</w:t>
            </w:r>
          </w:p>
          <w:p w:rsidR="00A26A00" w:rsidRPr="0043163D" w:rsidRDefault="00A26A00" w:rsidP="00C9745E">
            <w:pPr>
              <w:pStyle w:val="ListParagraph"/>
              <w:numPr>
                <w:ilvl w:val="0"/>
                <w:numId w:val="13"/>
              </w:numPr>
              <w:spacing w:after="0"/>
            </w:pPr>
            <w:r w:rsidRPr="0043163D">
              <w:t>износот на побарувањето, без да се намали за издвоената исправка на вредноста, да не е поголем од 75% од пазарната вредност на станбениот објект.</w:t>
            </w:r>
          </w:p>
          <w:p w:rsidR="00A26A00" w:rsidRPr="0043163D" w:rsidRDefault="00A26A00" w:rsidP="00C9745E">
            <w:pPr>
              <w:spacing w:after="0"/>
              <w:rPr>
                <w:rFonts w:cs="Arial"/>
              </w:rPr>
            </w:pPr>
            <w:r w:rsidRPr="0043163D">
              <w:t xml:space="preserve">Понатаму, да се внимава горе наведените податоци редовно и точно да се внесуваат во информативниот систем на Банката, со цел да се обезбедат валидни податоци за извештајот кој се користи како подлога за изготвување на АПКР обрасците, кој го вклучува и образецот АПКР-ПСО.  </w:t>
            </w:r>
          </w:p>
        </w:tc>
        <w:tc>
          <w:tcPr>
            <w:tcW w:w="3384" w:type="dxa"/>
          </w:tcPr>
          <w:p w:rsidR="00A26A00" w:rsidRPr="00C20F45" w:rsidRDefault="00A26A00" w:rsidP="00C9745E">
            <w:pPr>
              <w:pStyle w:val="Default"/>
              <w:jc w:val="center"/>
              <w:rPr>
                <w:rFonts w:asciiTheme="minorHAnsi" w:hAnsiTheme="minorHAnsi" w:cs="Arial"/>
                <w:color w:val="auto"/>
                <w:sz w:val="22"/>
                <w:szCs w:val="22"/>
              </w:rPr>
            </w:pPr>
            <w:r>
              <w:rPr>
                <w:rFonts w:asciiTheme="minorHAnsi" w:hAnsiTheme="minorHAnsi" w:cs="Arial"/>
                <w:b/>
                <w:color w:val="auto"/>
                <w:sz w:val="22"/>
                <w:szCs w:val="22"/>
              </w:rPr>
              <w:lastRenderedPageBreak/>
              <w:t>Континуиран процес – ќе се провери во наредниот период</w:t>
            </w:r>
          </w:p>
        </w:tc>
      </w:tr>
      <w:tr w:rsidR="00C41FB8" w:rsidRPr="00C20F45" w:rsidTr="00E7174C">
        <w:tc>
          <w:tcPr>
            <w:tcW w:w="932" w:type="dxa"/>
          </w:tcPr>
          <w:p w:rsidR="00C41FB8" w:rsidRPr="00C20F45" w:rsidRDefault="00C41FB8" w:rsidP="00C9745E">
            <w:pPr>
              <w:spacing w:after="0"/>
              <w:jc w:val="center"/>
              <w:rPr>
                <w:rFonts w:cs="Arial"/>
              </w:rPr>
            </w:pPr>
            <w:r w:rsidRPr="00C20F45">
              <w:rPr>
                <w:rFonts w:cs="Arial"/>
              </w:rPr>
              <w:lastRenderedPageBreak/>
              <w:t>21</w:t>
            </w:r>
          </w:p>
        </w:tc>
        <w:tc>
          <w:tcPr>
            <w:tcW w:w="4576" w:type="dxa"/>
            <w:gridSpan w:val="2"/>
          </w:tcPr>
          <w:p w:rsidR="00C41FB8" w:rsidRPr="008E0C67" w:rsidRDefault="00C41FB8" w:rsidP="00C9745E">
            <w:pPr>
              <w:spacing w:after="0"/>
              <w:rPr>
                <w:rFonts w:cs="Arial"/>
              </w:rPr>
            </w:pPr>
            <w:r w:rsidRPr="008E0C67">
              <w:rPr>
                <w:rFonts w:cs="Arial"/>
              </w:rPr>
              <w:t>Политиките за управување со стратегиски и репутациски ризик, не се ажурирани од крајот на 2011 година.</w:t>
            </w:r>
          </w:p>
          <w:p w:rsidR="00C41FB8" w:rsidRPr="008E0C67" w:rsidRDefault="00C41FB8" w:rsidP="00C9745E">
            <w:pPr>
              <w:spacing w:after="0"/>
              <w:rPr>
                <w:rFonts w:cs="Arial"/>
              </w:rPr>
            </w:pPr>
          </w:p>
        </w:tc>
        <w:tc>
          <w:tcPr>
            <w:tcW w:w="3690" w:type="dxa"/>
          </w:tcPr>
          <w:p w:rsidR="00C41FB8" w:rsidRPr="008E0C67" w:rsidRDefault="00C41FB8" w:rsidP="00C9745E">
            <w:pPr>
              <w:spacing w:after="0"/>
              <w:rPr>
                <w:rFonts w:cs="Arial"/>
              </w:rPr>
            </w:pPr>
            <w:r w:rsidRPr="008E0C67">
              <w:rPr>
                <w:rFonts w:cs="Arial"/>
              </w:rPr>
              <w:lastRenderedPageBreak/>
              <w:t xml:space="preserve">Да се ажурираат </w:t>
            </w:r>
            <w:r w:rsidRPr="008E0C67">
              <w:rPr>
                <w:rFonts w:eastAsia="Arial Unicode MS" w:cs="Arial"/>
              </w:rPr>
              <w:t xml:space="preserve">Политиката за управување со стратегиски ризик на Капитал банка АД Скопје, верзија 2 </w:t>
            </w:r>
            <w:r w:rsidRPr="008E0C67">
              <w:rPr>
                <w:rFonts w:eastAsia="Arial Unicode MS" w:cs="Arial"/>
              </w:rPr>
              <w:lastRenderedPageBreak/>
              <w:t>од 21.09.2011 година, како и Политиката за управување со репутациски ризик на Капитал банка АД Скопје, верзија 2 од 20.09.2011 година</w:t>
            </w:r>
            <w:r w:rsidRPr="008E0C67">
              <w:rPr>
                <w:rFonts w:cs="Arial"/>
              </w:rPr>
              <w:t>, или да се прегледаат во текот на 2015 година и да се потврди дека нема потреба од изготвување на нови верзии на истите.</w:t>
            </w:r>
          </w:p>
        </w:tc>
        <w:tc>
          <w:tcPr>
            <w:tcW w:w="3384" w:type="dxa"/>
          </w:tcPr>
          <w:p w:rsidR="00C41FB8" w:rsidRPr="00AC00D4" w:rsidRDefault="00C41FB8" w:rsidP="00C9745E">
            <w:pPr>
              <w:pStyle w:val="Default"/>
              <w:jc w:val="center"/>
              <w:rPr>
                <w:rFonts w:asciiTheme="minorHAnsi" w:hAnsiTheme="minorHAnsi" w:cs="Arial"/>
                <w:color w:val="auto"/>
                <w:sz w:val="22"/>
                <w:szCs w:val="22"/>
              </w:rPr>
            </w:pPr>
            <w:r w:rsidRPr="00AC00D4">
              <w:rPr>
                <w:rFonts w:asciiTheme="minorHAnsi" w:hAnsiTheme="minorHAnsi"/>
                <w:b/>
                <w:sz w:val="22"/>
                <w:szCs w:val="22"/>
              </w:rPr>
              <w:lastRenderedPageBreak/>
              <w:t>Усогласено - усвоени на јулска седница на  Надзорен одбор</w:t>
            </w:r>
          </w:p>
        </w:tc>
      </w:tr>
      <w:tr w:rsidR="00AC00D4" w:rsidRPr="00C20F45" w:rsidTr="00E7174C">
        <w:tc>
          <w:tcPr>
            <w:tcW w:w="932" w:type="dxa"/>
          </w:tcPr>
          <w:p w:rsidR="00AC00D4" w:rsidRPr="00C20F45" w:rsidRDefault="00AC00D4" w:rsidP="00C9745E">
            <w:pPr>
              <w:spacing w:after="0"/>
              <w:jc w:val="center"/>
              <w:rPr>
                <w:rFonts w:cs="Arial"/>
              </w:rPr>
            </w:pPr>
            <w:r>
              <w:rPr>
                <w:rFonts w:cs="Arial"/>
              </w:rPr>
              <w:lastRenderedPageBreak/>
              <w:t>22</w:t>
            </w:r>
          </w:p>
        </w:tc>
        <w:tc>
          <w:tcPr>
            <w:tcW w:w="4576" w:type="dxa"/>
            <w:gridSpan w:val="2"/>
          </w:tcPr>
          <w:p w:rsidR="00AC00D4" w:rsidRPr="00C52E2B" w:rsidRDefault="00AC00D4" w:rsidP="00C9745E">
            <w:pPr>
              <w:spacing w:after="0"/>
              <w:rPr>
                <w:rFonts w:cs="Arial"/>
              </w:rPr>
            </w:pPr>
            <w:r w:rsidRPr="00C52E2B">
              <w:rPr>
                <w:rFonts w:cs="Arial"/>
              </w:rPr>
              <w:t>Во моментот на ревизијата, поради работењето на експозитурата во две смени, благајната ја опслужуваат двајца референти, кои не вршат попис на средствата во благајната во моментот на примопредавањето на истата.</w:t>
            </w:r>
          </w:p>
        </w:tc>
        <w:tc>
          <w:tcPr>
            <w:tcW w:w="3690" w:type="dxa"/>
          </w:tcPr>
          <w:p w:rsidR="00AC00D4" w:rsidRPr="00C52E2B" w:rsidRDefault="00AC00D4" w:rsidP="00C9745E">
            <w:pPr>
              <w:spacing w:after="0"/>
              <w:rPr>
                <w:rFonts w:cs="Arial"/>
              </w:rPr>
            </w:pPr>
            <w:r w:rsidRPr="00C52E2B">
              <w:rPr>
                <w:rFonts w:cs="Arial"/>
              </w:rPr>
              <w:t>Рефер</w:t>
            </w:r>
            <w:r w:rsidRPr="00C52E2B">
              <w:rPr>
                <w:rFonts w:cs="Arial"/>
                <w:lang w:val="en-US"/>
              </w:rPr>
              <w:t>e</w:t>
            </w:r>
            <w:r w:rsidRPr="00C52E2B">
              <w:rPr>
                <w:rFonts w:cs="Arial"/>
              </w:rPr>
              <w:t>нтите одговорни за ракување со благајната да вршат попис на средствата во истата при примопредавање на благајната.</w:t>
            </w:r>
          </w:p>
          <w:p w:rsidR="00AC00D4" w:rsidRPr="00C52E2B" w:rsidRDefault="00AC00D4" w:rsidP="00C9745E">
            <w:pPr>
              <w:spacing w:after="0"/>
              <w:rPr>
                <w:rFonts w:cs="Arial"/>
              </w:rPr>
            </w:pPr>
          </w:p>
        </w:tc>
        <w:tc>
          <w:tcPr>
            <w:tcW w:w="3384" w:type="dxa"/>
          </w:tcPr>
          <w:p w:rsidR="00AC00D4" w:rsidRPr="00AC00D4" w:rsidRDefault="00AC00D4" w:rsidP="00C9745E">
            <w:pPr>
              <w:pStyle w:val="Default"/>
              <w:jc w:val="center"/>
              <w:rPr>
                <w:rFonts w:asciiTheme="minorHAnsi" w:hAnsiTheme="minorHAnsi" w:cs="Arial"/>
                <w:b/>
                <w:color w:val="auto"/>
                <w:sz w:val="22"/>
                <w:szCs w:val="22"/>
              </w:rPr>
            </w:pPr>
            <w:r w:rsidRPr="00AC00D4">
              <w:rPr>
                <w:rFonts w:asciiTheme="minorHAnsi" w:hAnsiTheme="minorHAnsi" w:cs="Arial"/>
                <w:b/>
                <w:color w:val="auto"/>
                <w:sz w:val="22"/>
                <w:szCs w:val="22"/>
              </w:rPr>
              <w:t>Усогласено</w:t>
            </w:r>
          </w:p>
        </w:tc>
      </w:tr>
      <w:tr w:rsidR="00666329" w:rsidRPr="00C20F45" w:rsidTr="00B44F78">
        <w:tc>
          <w:tcPr>
            <w:tcW w:w="932" w:type="dxa"/>
          </w:tcPr>
          <w:p w:rsidR="00666329" w:rsidRPr="00C20F45" w:rsidRDefault="00666329" w:rsidP="00B44F78">
            <w:pPr>
              <w:spacing w:after="0"/>
              <w:jc w:val="center"/>
              <w:rPr>
                <w:rFonts w:cs="Arial"/>
              </w:rPr>
            </w:pPr>
            <w:r>
              <w:rPr>
                <w:rFonts w:cs="Arial"/>
              </w:rPr>
              <w:t>23</w:t>
            </w:r>
          </w:p>
        </w:tc>
        <w:tc>
          <w:tcPr>
            <w:tcW w:w="4576" w:type="dxa"/>
            <w:gridSpan w:val="2"/>
          </w:tcPr>
          <w:p w:rsidR="00666329" w:rsidRPr="00C52E2B" w:rsidRDefault="00666329" w:rsidP="00B44F78">
            <w:pPr>
              <w:spacing w:after="0"/>
              <w:rPr>
                <w:rFonts w:cs="Arial"/>
                <w:i/>
              </w:rPr>
            </w:pPr>
            <w:r w:rsidRPr="00C52E2B">
              <w:rPr>
                <w:rFonts w:cs="Arial"/>
              </w:rPr>
              <w:t>Во моментот на ревизијата, во експозитур</w:t>
            </w:r>
            <w:r>
              <w:rPr>
                <w:rFonts w:cs="Arial"/>
              </w:rPr>
              <w:t>ите</w:t>
            </w:r>
            <w:r w:rsidRPr="00C52E2B">
              <w:rPr>
                <w:rFonts w:cs="Arial"/>
              </w:rPr>
              <w:t xml:space="preserve"> </w:t>
            </w:r>
            <w:r>
              <w:rPr>
                <w:rFonts w:cs="Arial"/>
              </w:rPr>
              <w:t>Аеродром и АМСМ Центар имаше кусок во состојбата на мениците.</w:t>
            </w:r>
          </w:p>
        </w:tc>
        <w:tc>
          <w:tcPr>
            <w:tcW w:w="3690" w:type="dxa"/>
          </w:tcPr>
          <w:p w:rsidR="00666329" w:rsidRPr="00703324" w:rsidRDefault="00666329" w:rsidP="00B44F78">
            <w:pPr>
              <w:spacing w:after="0"/>
              <w:rPr>
                <w:rFonts w:cs="Arial"/>
                <w:b/>
                <w:i/>
              </w:rPr>
            </w:pPr>
            <w:r w:rsidRPr="00C52E2B">
              <w:rPr>
                <w:rFonts w:cs="Arial"/>
              </w:rPr>
              <w:t>Да се внимава на состојбата на мениците во експозитурата и доколку не се усогласи истата со состојбата во системот, да се надомести кусокот од одговорните референти за благајна.</w:t>
            </w:r>
            <w:r>
              <w:rPr>
                <w:rFonts w:cs="Arial"/>
              </w:rPr>
              <w:t xml:space="preserve"> </w:t>
            </w:r>
            <w:r>
              <w:rPr>
                <w:rFonts w:cs="Arial"/>
                <w:b/>
                <w:i/>
              </w:rPr>
              <w:t>(Аеродром, АМСМ Центар).</w:t>
            </w:r>
          </w:p>
        </w:tc>
        <w:tc>
          <w:tcPr>
            <w:tcW w:w="3384" w:type="dxa"/>
          </w:tcPr>
          <w:p w:rsidR="00666329" w:rsidRPr="00AC00D4" w:rsidRDefault="00666329" w:rsidP="00B44F78">
            <w:pPr>
              <w:pStyle w:val="Default"/>
              <w:jc w:val="center"/>
              <w:rPr>
                <w:rFonts w:asciiTheme="minorHAnsi" w:hAnsiTheme="minorHAnsi" w:cs="Arial"/>
                <w:b/>
                <w:color w:val="auto"/>
                <w:sz w:val="22"/>
                <w:szCs w:val="22"/>
              </w:rPr>
            </w:pPr>
            <w:r w:rsidRPr="00AC00D4">
              <w:rPr>
                <w:rFonts w:asciiTheme="minorHAnsi" w:hAnsiTheme="minorHAnsi" w:cs="Arial"/>
                <w:b/>
                <w:color w:val="auto"/>
                <w:sz w:val="22"/>
                <w:szCs w:val="22"/>
              </w:rPr>
              <w:t>Усогласено</w:t>
            </w:r>
          </w:p>
        </w:tc>
      </w:tr>
      <w:tr w:rsidR="00AC00D4" w:rsidRPr="00AC62AA" w:rsidTr="00E7174C">
        <w:tc>
          <w:tcPr>
            <w:tcW w:w="932" w:type="dxa"/>
          </w:tcPr>
          <w:p w:rsidR="00AC00D4" w:rsidRPr="00AC62AA" w:rsidRDefault="00666329" w:rsidP="00C9745E">
            <w:pPr>
              <w:spacing w:after="0"/>
              <w:jc w:val="center"/>
              <w:rPr>
                <w:rFonts w:cs="Arial"/>
              </w:rPr>
            </w:pPr>
            <w:r w:rsidRPr="00AC62AA">
              <w:rPr>
                <w:rFonts w:cs="Arial"/>
              </w:rPr>
              <w:t>24</w:t>
            </w:r>
          </w:p>
        </w:tc>
        <w:tc>
          <w:tcPr>
            <w:tcW w:w="4576" w:type="dxa"/>
            <w:gridSpan w:val="2"/>
          </w:tcPr>
          <w:p w:rsidR="00AC00D4" w:rsidRPr="00AC62AA" w:rsidRDefault="00AC62AA" w:rsidP="00AC62AA">
            <w:pPr>
              <w:spacing w:after="0"/>
              <w:rPr>
                <w:rFonts w:cs="Arial"/>
              </w:rPr>
            </w:pPr>
            <w:r w:rsidRPr="00AC62AA">
              <w:rPr>
                <w:rFonts w:cs="Arial"/>
              </w:rPr>
              <w:t xml:space="preserve">Во моментот на ревизијата, дел од интерните Процедури кои го пропишуваат начинот на </w:t>
            </w:r>
            <w:r w:rsidRPr="00AC62AA">
              <w:rPr>
                <w:rFonts w:cs="Arial"/>
              </w:rPr>
              <w:lastRenderedPageBreak/>
              <w:t xml:space="preserve">работењето на ОЕ Известување и сметководство, не се ажурирани во последните две или повеќе календарски години, односно не се прегледани за </w:t>
            </w:r>
            <w:r w:rsidRPr="00AC62AA">
              <w:rPr>
                <w:rFonts w:ascii="Calibri" w:eastAsia="Calibri" w:hAnsi="Calibri" w:cs="Arial"/>
              </w:rPr>
              <w:t>да се потврди дека нема потреба од изготвување на нови верзии на истите.</w:t>
            </w:r>
          </w:p>
        </w:tc>
        <w:tc>
          <w:tcPr>
            <w:tcW w:w="3690" w:type="dxa"/>
          </w:tcPr>
          <w:p w:rsidR="00AC00D4" w:rsidRPr="00AC62AA" w:rsidRDefault="00666329" w:rsidP="00666329">
            <w:pPr>
              <w:spacing w:after="0"/>
              <w:rPr>
                <w:rFonts w:cs="Arial"/>
              </w:rPr>
            </w:pPr>
            <w:r w:rsidRPr="00AC62AA">
              <w:rPr>
                <w:rFonts w:cs="Arial"/>
              </w:rPr>
              <w:lastRenderedPageBreak/>
              <w:t xml:space="preserve">Да се ажурираат дел од интерните Процедури кои го пропишуваат </w:t>
            </w:r>
            <w:r w:rsidRPr="00AC62AA">
              <w:rPr>
                <w:rFonts w:cs="Arial"/>
              </w:rPr>
              <w:lastRenderedPageBreak/>
              <w:t xml:space="preserve">начинот на работењето на ОЕ Известување и сметководство, </w:t>
            </w:r>
            <w:r w:rsidRPr="00AC62AA">
              <w:rPr>
                <w:rFonts w:ascii="Calibri" w:eastAsia="Calibri" w:hAnsi="Calibri" w:cs="Arial"/>
              </w:rPr>
              <w:t>или да се прегледаат за да се потврди дека нема потреба од изготвување на нови верзии на истите.</w:t>
            </w:r>
          </w:p>
        </w:tc>
        <w:tc>
          <w:tcPr>
            <w:tcW w:w="3384" w:type="dxa"/>
          </w:tcPr>
          <w:p w:rsidR="00AC00D4" w:rsidRPr="00AC62AA" w:rsidRDefault="00666329" w:rsidP="00C9745E">
            <w:pPr>
              <w:pStyle w:val="Default"/>
              <w:jc w:val="center"/>
              <w:rPr>
                <w:rFonts w:asciiTheme="minorHAnsi" w:hAnsiTheme="minorHAnsi" w:cs="Arial"/>
                <w:b/>
                <w:color w:val="auto"/>
                <w:sz w:val="22"/>
                <w:szCs w:val="22"/>
              </w:rPr>
            </w:pPr>
            <w:r w:rsidRPr="00AC62AA">
              <w:rPr>
                <w:rFonts w:asciiTheme="minorHAnsi" w:hAnsiTheme="minorHAnsi" w:cs="Arial"/>
                <w:b/>
                <w:color w:val="auto"/>
                <w:sz w:val="22"/>
                <w:szCs w:val="22"/>
              </w:rPr>
              <w:lastRenderedPageBreak/>
              <w:t>Во тек</w:t>
            </w:r>
          </w:p>
        </w:tc>
      </w:tr>
    </w:tbl>
    <w:p w:rsidR="00E00D3B" w:rsidRPr="00672340" w:rsidRDefault="00E00D3B" w:rsidP="00FB2F55"/>
    <w:sectPr w:rsidR="00E00D3B" w:rsidRPr="00672340" w:rsidSect="00954609">
      <w:headerReference w:type="default" r:id="rId18"/>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A13" w:rsidRDefault="001C7A13" w:rsidP="00B96C7E">
      <w:pPr>
        <w:spacing w:after="0" w:line="240" w:lineRule="auto"/>
      </w:pPr>
      <w:r>
        <w:separator/>
      </w:r>
    </w:p>
  </w:endnote>
  <w:endnote w:type="continuationSeparator" w:id="0">
    <w:p w:rsidR="001C7A13" w:rsidRDefault="001C7A13" w:rsidP="00B96C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A00002EF" w:usb1="4000204B" w:usb2="00000000" w:usb3="00000000" w:csb0="0000009F" w:csb1="00000000"/>
  </w:font>
  <w:font w:name="TTE2238F88t00">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931" w:rsidRDefault="003679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931" w:rsidRDefault="0036793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931" w:rsidRDefault="0036793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E0E" w:rsidRPr="00647C0A" w:rsidRDefault="0023024C">
    <w:pPr>
      <w:pStyle w:val="Footer"/>
      <w:jc w:val="center"/>
      <w:rPr>
        <w:rFonts w:cs="Arial"/>
        <w:i/>
        <w:sz w:val="24"/>
        <w:szCs w:val="24"/>
        <w:lang w:val="en-US"/>
      </w:rPr>
    </w:pPr>
    <w:r w:rsidRPr="00647C0A">
      <w:rPr>
        <w:rFonts w:cs="Arial"/>
        <w:i/>
        <w:sz w:val="24"/>
        <w:szCs w:val="24"/>
      </w:rPr>
      <w:fldChar w:fldCharType="begin"/>
    </w:r>
    <w:r w:rsidR="00654E0E" w:rsidRPr="00647C0A">
      <w:rPr>
        <w:rFonts w:cs="Arial"/>
        <w:i/>
        <w:sz w:val="24"/>
        <w:szCs w:val="24"/>
      </w:rPr>
      <w:instrText xml:space="preserve"> PAGE   \* MERGEFORMAT </w:instrText>
    </w:r>
    <w:r w:rsidRPr="00647C0A">
      <w:rPr>
        <w:rFonts w:cs="Arial"/>
        <w:i/>
        <w:sz w:val="24"/>
        <w:szCs w:val="24"/>
      </w:rPr>
      <w:fldChar w:fldCharType="separate"/>
    </w:r>
    <w:r w:rsidR="00367931">
      <w:rPr>
        <w:rFonts w:cs="Arial"/>
        <w:i/>
        <w:noProof/>
        <w:sz w:val="24"/>
        <w:szCs w:val="24"/>
      </w:rPr>
      <w:t>32</w:t>
    </w:r>
    <w:r w:rsidRPr="00647C0A">
      <w:rPr>
        <w:rFonts w:cs="Arial"/>
        <w:i/>
        <w:sz w:val="24"/>
        <w:szCs w:val="24"/>
      </w:rPr>
      <w:fldChar w:fldCharType="end"/>
    </w:r>
  </w:p>
  <w:p w:rsidR="00654E0E" w:rsidRPr="00647C0A" w:rsidRDefault="000F79C7">
    <w:pPr>
      <w:pStyle w:val="Footer"/>
      <w:rPr>
        <w:rFonts w:cs="Arial"/>
        <w:i/>
        <w:sz w:val="24"/>
        <w:szCs w:val="24"/>
      </w:rPr>
    </w:pPr>
    <w:r w:rsidRPr="00647C0A">
      <w:rPr>
        <w:rFonts w:cs="Arial"/>
        <w:i/>
        <w:sz w:val="24"/>
        <w:szCs w:val="24"/>
      </w:rPr>
      <w:t>доверливо</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A13" w:rsidRDefault="001C7A13" w:rsidP="00B96C7E">
      <w:pPr>
        <w:spacing w:after="0" w:line="240" w:lineRule="auto"/>
      </w:pPr>
      <w:r>
        <w:separator/>
      </w:r>
    </w:p>
  </w:footnote>
  <w:footnote w:type="continuationSeparator" w:id="0">
    <w:p w:rsidR="001C7A13" w:rsidRDefault="001C7A13" w:rsidP="00B96C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931" w:rsidRDefault="003679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A2C" w:rsidRPr="00367931" w:rsidRDefault="008B4A2C" w:rsidP="0036793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931" w:rsidRDefault="0036793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906" w:rsidRPr="00367931" w:rsidRDefault="00ED7906" w:rsidP="00367931">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884" w:rsidRPr="00987D7D" w:rsidRDefault="00B84C2F" w:rsidP="00547884">
    <w:pPr>
      <w:pStyle w:val="Header"/>
      <w:jc w:val="center"/>
      <w:rPr>
        <w:b/>
        <w:i/>
        <w:color w:val="FF0000"/>
        <w:sz w:val="24"/>
        <w:szCs w:val="24"/>
        <w:u w:val="single"/>
      </w:rPr>
    </w:pPr>
    <w:r w:rsidRPr="00987D7D">
      <w:rPr>
        <w:rFonts w:cs="Arial"/>
        <w:b/>
        <w:sz w:val="24"/>
        <w:szCs w:val="24"/>
        <w:u w:val="single"/>
      </w:rPr>
      <w:t xml:space="preserve">Препораки од </w:t>
    </w:r>
    <w:r w:rsidRPr="00987D7D">
      <w:rPr>
        <w:rFonts w:cs="Arial"/>
        <w:b/>
        <w:sz w:val="24"/>
        <w:szCs w:val="24"/>
        <w:u w:val="single"/>
      </w:rPr>
      <w:t>Службата за внатрешна ревизија</w:t>
    </w:r>
  </w:p>
  <w:p w:rsidR="00B84C2F" w:rsidRPr="00987D7D" w:rsidRDefault="00B84C2F" w:rsidP="00B84C2F">
    <w:pPr>
      <w:rPr>
        <w:rFonts w:cs="Arial"/>
        <w:b/>
        <w:sz w:val="24"/>
        <w:szCs w:val="24"/>
        <w:u w:val="single"/>
      </w:rPr>
    </w:pPr>
  </w:p>
  <w:tbl>
    <w:tblPr>
      <w:tblW w:w="12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4279"/>
      <w:gridCol w:w="3942"/>
      <w:gridCol w:w="3402"/>
    </w:tblGrid>
    <w:tr w:rsidR="002156E3" w:rsidRPr="00987D7D" w:rsidTr="00070A4A">
      <w:tc>
        <w:tcPr>
          <w:tcW w:w="959" w:type="dxa"/>
        </w:tcPr>
        <w:p w:rsidR="002156E3" w:rsidRPr="00987D7D" w:rsidRDefault="002156E3" w:rsidP="0030719C">
          <w:pPr>
            <w:pStyle w:val="Default"/>
            <w:jc w:val="center"/>
            <w:rPr>
              <w:rFonts w:asciiTheme="minorHAnsi" w:hAnsiTheme="minorHAnsi" w:cs="Arial"/>
              <w:b/>
            </w:rPr>
          </w:pPr>
          <w:r w:rsidRPr="00987D7D">
            <w:rPr>
              <w:rFonts w:asciiTheme="minorHAnsi" w:hAnsiTheme="minorHAnsi" w:cs="Arial"/>
              <w:b/>
            </w:rPr>
            <w:t>Реден број</w:t>
          </w:r>
        </w:p>
      </w:tc>
      <w:tc>
        <w:tcPr>
          <w:tcW w:w="4279" w:type="dxa"/>
        </w:tcPr>
        <w:p w:rsidR="002156E3" w:rsidRPr="00987D7D" w:rsidRDefault="002156E3" w:rsidP="0030719C">
          <w:pPr>
            <w:pStyle w:val="Default"/>
            <w:jc w:val="center"/>
            <w:rPr>
              <w:rFonts w:asciiTheme="minorHAnsi" w:hAnsiTheme="minorHAnsi" w:cs="Arial"/>
              <w:b/>
            </w:rPr>
          </w:pPr>
          <w:r w:rsidRPr="00987D7D">
            <w:rPr>
              <w:rFonts w:asciiTheme="minorHAnsi" w:hAnsiTheme="minorHAnsi" w:cs="Arial"/>
              <w:b/>
            </w:rPr>
            <w:t>Заклучок,</w:t>
          </w:r>
        </w:p>
        <w:p w:rsidR="002156E3" w:rsidRPr="00987D7D" w:rsidRDefault="002156E3" w:rsidP="0030719C">
          <w:pPr>
            <w:pStyle w:val="Default"/>
            <w:jc w:val="center"/>
            <w:rPr>
              <w:rFonts w:asciiTheme="minorHAnsi" w:hAnsiTheme="minorHAnsi" w:cs="Arial"/>
              <w:b/>
            </w:rPr>
          </w:pPr>
          <w:r w:rsidRPr="00987D7D">
            <w:rPr>
              <w:rFonts w:asciiTheme="minorHAnsi" w:hAnsiTheme="minorHAnsi" w:cs="Arial"/>
              <w:b/>
            </w:rPr>
            <w:t xml:space="preserve">Наоди и </w:t>
          </w:r>
        </w:p>
        <w:p w:rsidR="002156E3" w:rsidRPr="00987D7D" w:rsidRDefault="002156E3" w:rsidP="0030719C">
          <w:pPr>
            <w:pStyle w:val="Default"/>
            <w:jc w:val="center"/>
            <w:rPr>
              <w:rFonts w:asciiTheme="minorHAnsi" w:hAnsiTheme="minorHAnsi" w:cs="Arial"/>
              <w:b/>
            </w:rPr>
          </w:pPr>
          <w:r w:rsidRPr="00987D7D">
            <w:rPr>
              <w:rFonts w:asciiTheme="minorHAnsi" w:hAnsiTheme="minorHAnsi" w:cs="Arial"/>
              <w:b/>
            </w:rPr>
            <w:t>Сумарна оценка</w:t>
          </w:r>
        </w:p>
      </w:tc>
      <w:tc>
        <w:tcPr>
          <w:tcW w:w="3942" w:type="dxa"/>
        </w:tcPr>
        <w:p w:rsidR="002156E3" w:rsidRPr="00987D7D" w:rsidRDefault="002156E3" w:rsidP="0030719C">
          <w:pPr>
            <w:pStyle w:val="Default"/>
            <w:jc w:val="center"/>
            <w:rPr>
              <w:rFonts w:asciiTheme="minorHAnsi" w:hAnsiTheme="minorHAnsi" w:cs="Arial"/>
              <w:b/>
            </w:rPr>
          </w:pPr>
          <w:r w:rsidRPr="00987D7D">
            <w:rPr>
              <w:rFonts w:asciiTheme="minorHAnsi" w:hAnsiTheme="minorHAnsi" w:cs="Arial"/>
              <w:b/>
            </w:rPr>
            <w:t>Препораки</w:t>
          </w:r>
        </w:p>
      </w:tc>
      <w:tc>
        <w:tcPr>
          <w:tcW w:w="3402" w:type="dxa"/>
        </w:tcPr>
        <w:p w:rsidR="002156E3" w:rsidRPr="00987D7D" w:rsidRDefault="002156E3" w:rsidP="00EC27D7">
          <w:pPr>
            <w:pStyle w:val="Default"/>
            <w:jc w:val="center"/>
            <w:rPr>
              <w:rFonts w:asciiTheme="minorHAnsi" w:hAnsiTheme="minorHAnsi" w:cs="Arial"/>
              <w:b/>
            </w:rPr>
          </w:pPr>
          <w:r w:rsidRPr="00987D7D">
            <w:rPr>
              <w:rFonts w:asciiTheme="minorHAnsi" w:hAnsiTheme="minorHAnsi" w:cs="Arial"/>
              <w:b/>
            </w:rPr>
            <w:t xml:space="preserve">Статус на усогласеноста на </w:t>
          </w:r>
          <w:r w:rsidR="00EC27D7" w:rsidRPr="00987D7D">
            <w:rPr>
              <w:rFonts w:asciiTheme="minorHAnsi" w:hAnsiTheme="minorHAnsi" w:cs="Arial"/>
              <w:b/>
            </w:rPr>
            <w:t>препораките</w:t>
          </w:r>
        </w:p>
      </w:tc>
    </w:tr>
  </w:tbl>
  <w:p w:rsidR="00B84C2F" w:rsidRPr="00ED7906" w:rsidRDefault="00B84C2F" w:rsidP="00ED79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E3FFC"/>
    <w:multiLevelType w:val="hybridMultilevel"/>
    <w:tmpl w:val="12B285A0"/>
    <w:lvl w:ilvl="0" w:tplc="DE9CB3F2">
      <w:start w:val="1"/>
      <w:numFmt w:val="decimal"/>
      <w:lvlText w:val="%1."/>
      <w:lvlJc w:val="left"/>
      <w:pPr>
        <w:ind w:left="720" w:hanging="360"/>
      </w:pPr>
      <w:rPr>
        <w:rFonts w:hint="default"/>
      </w:rPr>
    </w:lvl>
    <w:lvl w:ilvl="1" w:tplc="042F0019">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nsid w:val="01704832"/>
    <w:multiLevelType w:val="hybridMultilevel"/>
    <w:tmpl w:val="D136A74E"/>
    <w:lvl w:ilvl="0" w:tplc="7898DCD8">
      <w:start w:val="2"/>
      <w:numFmt w:val="lowerLetter"/>
      <w:lvlText w:val="%1."/>
      <w:lvlJc w:val="left"/>
      <w:pPr>
        <w:ind w:left="144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C33848"/>
    <w:multiLevelType w:val="hybridMultilevel"/>
    <w:tmpl w:val="D8E0AB3C"/>
    <w:lvl w:ilvl="0" w:tplc="042F000F">
      <w:start w:val="1"/>
      <w:numFmt w:val="decimal"/>
      <w:lvlText w:val="%1."/>
      <w:lvlJc w:val="left"/>
      <w:pPr>
        <w:ind w:left="1440" w:hanging="360"/>
      </w:p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3">
    <w:nsid w:val="093C7895"/>
    <w:multiLevelType w:val="hybridMultilevel"/>
    <w:tmpl w:val="E59C58C8"/>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
    <w:nsid w:val="13E028FE"/>
    <w:multiLevelType w:val="hybridMultilevel"/>
    <w:tmpl w:val="E34686DA"/>
    <w:lvl w:ilvl="0" w:tplc="631CB504">
      <w:numFmt w:val="bullet"/>
      <w:lvlText w:val="-"/>
      <w:lvlJc w:val="left"/>
      <w:pPr>
        <w:ind w:left="1800" w:hanging="360"/>
      </w:pPr>
      <w:rPr>
        <w:rFonts w:ascii="Calibri" w:eastAsia="Calibri" w:hAnsi="Calibri" w:cs="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5576025"/>
    <w:multiLevelType w:val="hybridMultilevel"/>
    <w:tmpl w:val="A4D89F56"/>
    <w:lvl w:ilvl="0" w:tplc="F990D0EC">
      <w:start w:val="1"/>
      <w:numFmt w:val="bullet"/>
      <w:lvlText w:val="-"/>
      <w:lvlJc w:val="left"/>
      <w:pPr>
        <w:ind w:left="720" w:hanging="360"/>
      </w:pPr>
      <w:rPr>
        <w:rFonts w:ascii="Arial" w:eastAsiaTheme="minorHAnsi" w:hAnsi="Arial" w:cs="Arial"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
    <w:nsid w:val="170145D1"/>
    <w:multiLevelType w:val="hybridMultilevel"/>
    <w:tmpl w:val="18C23A88"/>
    <w:lvl w:ilvl="0" w:tplc="0636B2E2">
      <w:start w:val="1"/>
      <w:numFmt w:val="decimal"/>
      <w:lvlText w:val="%1."/>
      <w:lvlJc w:val="left"/>
      <w:pPr>
        <w:ind w:left="720" w:hanging="360"/>
      </w:pPr>
      <w:rPr>
        <w:rFonts w:asciiTheme="minorHAnsi" w:hAnsiTheme="minorHAnsi"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E57E8C"/>
    <w:multiLevelType w:val="hybridMultilevel"/>
    <w:tmpl w:val="BD64267A"/>
    <w:lvl w:ilvl="0" w:tplc="ED06B1A0">
      <w:start w:val="1"/>
      <w:numFmt w:val="bullet"/>
      <w:lvlText w:val="-"/>
      <w:lvlJc w:val="left"/>
      <w:pPr>
        <w:ind w:left="720" w:hanging="360"/>
      </w:pPr>
      <w:rPr>
        <w:rFonts w:ascii="Calibri" w:eastAsiaTheme="minorHAnsi" w:hAnsi="Calibri"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8">
    <w:nsid w:val="1B1D5596"/>
    <w:multiLevelType w:val="hybridMultilevel"/>
    <w:tmpl w:val="4D74E3FE"/>
    <w:lvl w:ilvl="0" w:tplc="FE827C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945331"/>
    <w:multiLevelType w:val="hybridMultilevel"/>
    <w:tmpl w:val="17E4C96E"/>
    <w:lvl w:ilvl="0" w:tplc="042F0013">
      <w:start w:val="1"/>
      <w:numFmt w:val="upperRoman"/>
      <w:lvlText w:val="%1."/>
      <w:lvlJc w:val="righ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0">
    <w:nsid w:val="1FCB703F"/>
    <w:multiLevelType w:val="hybridMultilevel"/>
    <w:tmpl w:val="BE86BE38"/>
    <w:lvl w:ilvl="0" w:tplc="F44A3A70">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76220C"/>
    <w:multiLevelType w:val="hybridMultilevel"/>
    <w:tmpl w:val="AE3CD334"/>
    <w:lvl w:ilvl="0" w:tplc="A3A224F0">
      <w:start w:val="7"/>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815C4E"/>
    <w:multiLevelType w:val="hybridMultilevel"/>
    <w:tmpl w:val="AE92BAAE"/>
    <w:lvl w:ilvl="0" w:tplc="3E583EE6">
      <w:start w:val="22"/>
      <w:numFmt w:val="lowerLetter"/>
      <w:lvlText w:val="%1."/>
      <w:lvlJc w:val="left"/>
      <w:pPr>
        <w:ind w:left="144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BF5DEF"/>
    <w:multiLevelType w:val="hybridMultilevel"/>
    <w:tmpl w:val="F2EE23E8"/>
    <w:lvl w:ilvl="0" w:tplc="8740128C">
      <w:start w:val="1"/>
      <w:numFmt w:val="decimal"/>
      <w:lvlText w:val="%1."/>
      <w:lvlJc w:val="left"/>
      <w:pPr>
        <w:ind w:left="720" w:hanging="360"/>
      </w:pPr>
      <w:rPr>
        <w:b/>
      </w:rPr>
    </w:lvl>
    <w:lvl w:ilvl="1" w:tplc="579C6378">
      <w:start w:val="1"/>
      <w:numFmt w:val="lowerLetter"/>
      <w:lvlText w:val="%2."/>
      <w:lvlJc w:val="left"/>
      <w:pPr>
        <w:ind w:left="1440" w:hanging="360"/>
      </w:pPr>
      <w:rPr>
        <w:b/>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C302C8"/>
    <w:multiLevelType w:val="hybridMultilevel"/>
    <w:tmpl w:val="3176E42C"/>
    <w:lvl w:ilvl="0" w:tplc="23969D94">
      <w:start w:val="1"/>
      <w:numFmt w:val="decimal"/>
      <w:lvlText w:val="%1."/>
      <w:lvlJc w:val="left"/>
      <w:pPr>
        <w:ind w:left="720" w:hanging="360"/>
      </w:pPr>
      <w:rPr>
        <w:rFonts w:asciiTheme="minorHAnsi" w:eastAsiaTheme="minorHAnsi" w:hAnsiTheme="minorHAnsi" w:cs="Arial" w:hint="default"/>
        <w:b/>
        <w:sz w:val="24"/>
        <w:szCs w:val="24"/>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5">
    <w:nsid w:val="359C5479"/>
    <w:multiLevelType w:val="hybridMultilevel"/>
    <w:tmpl w:val="33EC5682"/>
    <w:lvl w:ilvl="0" w:tplc="042F0013">
      <w:start w:val="1"/>
      <w:numFmt w:val="upperRoman"/>
      <w:lvlText w:val="%1."/>
      <w:lvlJc w:val="right"/>
      <w:pPr>
        <w:ind w:left="720" w:hanging="360"/>
      </w:pPr>
      <w:rPr>
        <w:rFonts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6">
    <w:nsid w:val="3A9E7E05"/>
    <w:multiLevelType w:val="hybridMultilevel"/>
    <w:tmpl w:val="373A2B72"/>
    <w:lvl w:ilvl="0" w:tplc="33500FB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EA155E"/>
    <w:multiLevelType w:val="hybridMultilevel"/>
    <w:tmpl w:val="B9708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F43ADA"/>
    <w:multiLevelType w:val="hybridMultilevel"/>
    <w:tmpl w:val="B19C4D6C"/>
    <w:lvl w:ilvl="0" w:tplc="0C0EE7CA">
      <w:start w:val="1"/>
      <w:numFmt w:val="decimal"/>
      <w:lvlText w:val="%1."/>
      <w:lvlJc w:val="left"/>
      <w:pPr>
        <w:ind w:left="720" w:hanging="360"/>
      </w:pPr>
      <w:rPr>
        <w:b/>
      </w:rPr>
    </w:lvl>
    <w:lvl w:ilvl="1" w:tplc="579C6378">
      <w:start w:val="1"/>
      <w:numFmt w:val="lowerLetter"/>
      <w:lvlText w:val="%2."/>
      <w:lvlJc w:val="left"/>
      <w:pPr>
        <w:ind w:left="1440" w:hanging="360"/>
      </w:pPr>
      <w:rPr>
        <w:b/>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9429C0"/>
    <w:multiLevelType w:val="hybridMultilevel"/>
    <w:tmpl w:val="17E4C96E"/>
    <w:lvl w:ilvl="0" w:tplc="042F0013">
      <w:start w:val="1"/>
      <w:numFmt w:val="upperRoman"/>
      <w:lvlText w:val="%1."/>
      <w:lvlJc w:val="righ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0">
    <w:nsid w:val="47B52944"/>
    <w:multiLevelType w:val="hybridMultilevel"/>
    <w:tmpl w:val="EA10E7C8"/>
    <w:lvl w:ilvl="0" w:tplc="3DE60F8C">
      <w:start w:val="1"/>
      <w:numFmt w:val="bullet"/>
      <w:lvlText w:val=""/>
      <w:lvlJc w:val="left"/>
      <w:pPr>
        <w:ind w:left="1080" w:hanging="360"/>
      </w:pPr>
      <w:rPr>
        <w:rFonts w:ascii="Symbol" w:eastAsiaTheme="minorHAnsi" w:hAnsi="Symbol" w:cs="Aria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1">
    <w:nsid w:val="4B537323"/>
    <w:multiLevelType w:val="hybridMultilevel"/>
    <w:tmpl w:val="DB20DFD6"/>
    <w:lvl w:ilvl="0" w:tplc="DB68A15C">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4F082D1D"/>
    <w:multiLevelType w:val="hybridMultilevel"/>
    <w:tmpl w:val="4BDE0644"/>
    <w:lvl w:ilvl="0" w:tplc="B414D734">
      <w:start w:val="1"/>
      <w:numFmt w:val="upperRoman"/>
      <w:lvlText w:val="%1."/>
      <w:lvlJc w:val="right"/>
      <w:pPr>
        <w:ind w:left="720" w:hanging="360"/>
      </w:pPr>
      <w:rPr>
        <w:rFonts w:hint="default"/>
        <w:i/>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3">
    <w:nsid w:val="53F6573A"/>
    <w:multiLevelType w:val="hybridMultilevel"/>
    <w:tmpl w:val="71902C0A"/>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24">
    <w:nsid w:val="55A84F63"/>
    <w:multiLevelType w:val="hybridMultilevel"/>
    <w:tmpl w:val="DA1C21D8"/>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5">
    <w:nsid w:val="567B011D"/>
    <w:multiLevelType w:val="multilevel"/>
    <w:tmpl w:val="B81EE9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4AA2C8E"/>
    <w:multiLevelType w:val="hybridMultilevel"/>
    <w:tmpl w:val="8020F462"/>
    <w:lvl w:ilvl="0" w:tplc="ECA03B54">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1517803"/>
    <w:multiLevelType w:val="hybridMultilevel"/>
    <w:tmpl w:val="91945A8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8">
    <w:nsid w:val="71AA5764"/>
    <w:multiLevelType w:val="hybridMultilevel"/>
    <w:tmpl w:val="DB5032D0"/>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29">
    <w:nsid w:val="77FA7FCD"/>
    <w:multiLevelType w:val="hybridMultilevel"/>
    <w:tmpl w:val="3BE05818"/>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0">
    <w:nsid w:val="7AF1448C"/>
    <w:multiLevelType w:val="hybridMultilevel"/>
    <w:tmpl w:val="1AFC89BC"/>
    <w:lvl w:ilvl="0" w:tplc="DD7EBAF6">
      <w:start w:val="20"/>
      <w:numFmt w:val="bullet"/>
      <w:lvlText w:val="-"/>
      <w:lvlJc w:val="left"/>
      <w:pPr>
        <w:ind w:left="1080" w:hanging="360"/>
      </w:pPr>
      <w:rPr>
        <w:rFonts w:ascii="Arial" w:eastAsiaTheme="minorHAnsi" w:hAnsi="Arial" w:cs="Aria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31">
    <w:nsid w:val="7B106EFA"/>
    <w:multiLevelType w:val="hybridMultilevel"/>
    <w:tmpl w:val="2D7EA256"/>
    <w:lvl w:ilvl="0" w:tplc="4C04B5B6">
      <w:start w:val="1"/>
      <w:numFmt w:val="decimal"/>
      <w:lvlText w:val="%1."/>
      <w:lvlJc w:val="left"/>
      <w:pPr>
        <w:ind w:left="720" w:hanging="360"/>
      </w:pPr>
      <w:rPr>
        <w:rFonts w:asciiTheme="minorHAnsi" w:hAnsiTheme="minorHAnsi"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20"/>
  </w:num>
  <w:num w:numId="4">
    <w:abstractNumId w:val="28"/>
  </w:num>
  <w:num w:numId="5">
    <w:abstractNumId w:val="23"/>
  </w:num>
  <w:num w:numId="6">
    <w:abstractNumId w:val="3"/>
  </w:num>
  <w:num w:numId="7">
    <w:abstractNumId w:val="29"/>
  </w:num>
  <w:num w:numId="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30"/>
  </w:num>
  <w:num w:numId="11">
    <w:abstractNumId w:val="9"/>
  </w:num>
  <w:num w:numId="12">
    <w:abstractNumId w:val="19"/>
  </w:num>
  <w:num w:numId="13">
    <w:abstractNumId w:val="7"/>
  </w:num>
  <w:num w:numId="14">
    <w:abstractNumId w:val="0"/>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6"/>
  </w:num>
  <w:num w:numId="18">
    <w:abstractNumId w:val="15"/>
  </w:num>
  <w:num w:numId="19">
    <w:abstractNumId w:val="4"/>
  </w:num>
  <w:num w:numId="20">
    <w:abstractNumId w:val="22"/>
  </w:num>
  <w:num w:numId="21">
    <w:abstractNumId w:val="11"/>
  </w:num>
  <w:num w:numId="22">
    <w:abstractNumId w:val="26"/>
  </w:num>
  <w:num w:numId="23">
    <w:abstractNumId w:val="17"/>
  </w:num>
  <w:num w:numId="24">
    <w:abstractNumId w:val="31"/>
  </w:num>
  <w:num w:numId="25">
    <w:abstractNumId w:val="18"/>
  </w:num>
  <w:num w:numId="26">
    <w:abstractNumId w:val="8"/>
  </w:num>
  <w:num w:numId="27">
    <w:abstractNumId w:val="1"/>
  </w:num>
  <w:num w:numId="28">
    <w:abstractNumId w:val="13"/>
  </w:num>
  <w:num w:numId="29">
    <w:abstractNumId w:val="12"/>
  </w:num>
  <w:num w:numId="30">
    <w:abstractNumId w:val="10"/>
  </w:num>
  <w:num w:numId="3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553E7A"/>
    <w:rsid w:val="000047ED"/>
    <w:rsid w:val="000119A6"/>
    <w:rsid w:val="00013B70"/>
    <w:rsid w:val="00013F4B"/>
    <w:rsid w:val="00016F9B"/>
    <w:rsid w:val="000247A6"/>
    <w:rsid w:val="00026078"/>
    <w:rsid w:val="0002691F"/>
    <w:rsid w:val="00026C5D"/>
    <w:rsid w:val="0003710E"/>
    <w:rsid w:val="00042CBE"/>
    <w:rsid w:val="00046FA7"/>
    <w:rsid w:val="00047A06"/>
    <w:rsid w:val="00047C53"/>
    <w:rsid w:val="00050000"/>
    <w:rsid w:val="00052130"/>
    <w:rsid w:val="00053B2F"/>
    <w:rsid w:val="00055E48"/>
    <w:rsid w:val="00056257"/>
    <w:rsid w:val="00056644"/>
    <w:rsid w:val="0006302B"/>
    <w:rsid w:val="00064BA4"/>
    <w:rsid w:val="00065802"/>
    <w:rsid w:val="0007020D"/>
    <w:rsid w:val="00070A4A"/>
    <w:rsid w:val="000718D7"/>
    <w:rsid w:val="000723B0"/>
    <w:rsid w:val="000740F2"/>
    <w:rsid w:val="0008656F"/>
    <w:rsid w:val="00086C60"/>
    <w:rsid w:val="000912AE"/>
    <w:rsid w:val="00091551"/>
    <w:rsid w:val="0009660D"/>
    <w:rsid w:val="00096CF3"/>
    <w:rsid w:val="000A29A8"/>
    <w:rsid w:val="000A2BD2"/>
    <w:rsid w:val="000A3E8F"/>
    <w:rsid w:val="000A6F38"/>
    <w:rsid w:val="000B020C"/>
    <w:rsid w:val="000B02B7"/>
    <w:rsid w:val="000B516E"/>
    <w:rsid w:val="000C021E"/>
    <w:rsid w:val="000C1237"/>
    <w:rsid w:val="000C158A"/>
    <w:rsid w:val="000C2294"/>
    <w:rsid w:val="000C58B0"/>
    <w:rsid w:val="000C60E1"/>
    <w:rsid w:val="000D03E3"/>
    <w:rsid w:val="000D2063"/>
    <w:rsid w:val="000D27B8"/>
    <w:rsid w:val="000D64B7"/>
    <w:rsid w:val="000E0B05"/>
    <w:rsid w:val="000E0F9A"/>
    <w:rsid w:val="000E54CE"/>
    <w:rsid w:val="000E782B"/>
    <w:rsid w:val="000F5321"/>
    <w:rsid w:val="000F79C7"/>
    <w:rsid w:val="001009C3"/>
    <w:rsid w:val="00104502"/>
    <w:rsid w:val="00107162"/>
    <w:rsid w:val="00112A01"/>
    <w:rsid w:val="00116D1A"/>
    <w:rsid w:val="0011729A"/>
    <w:rsid w:val="00122483"/>
    <w:rsid w:val="00130908"/>
    <w:rsid w:val="00137531"/>
    <w:rsid w:val="00140B7E"/>
    <w:rsid w:val="00143C0F"/>
    <w:rsid w:val="00144972"/>
    <w:rsid w:val="00145AF7"/>
    <w:rsid w:val="00147399"/>
    <w:rsid w:val="00154F63"/>
    <w:rsid w:val="00155C46"/>
    <w:rsid w:val="00156639"/>
    <w:rsid w:val="0015663C"/>
    <w:rsid w:val="00163D98"/>
    <w:rsid w:val="00167BDD"/>
    <w:rsid w:val="00167D3C"/>
    <w:rsid w:val="00177632"/>
    <w:rsid w:val="001836BC"/>
    <w:rsid w:val="00183BB0"/>
    <w:rsid w:val="0018409F"/>
    <w:rsid w:val="00185D31"/>
    <w:rsid w:val="001860D2"/>
    <w:rsid w:val="0019010B"/>
    <w:rsid w:val="00194E2C"/>
    <w:rsid w:val="00195DC7"/>
    <w:rsid w:val="00195E2D"/>
    <w:rsid w:val="001966D6"/>
    <w:rsid w:val="00196F6D"/>
    <w:rsid w:val="001A407F"/>
    <w:rsid w:val="001A6349"/>
    <w:rsid w:val="001A6F09"/>
    <w:rsid w:val="001B32F2"/>
    <w:rsid w:val="001C1104"/>
    <w:rsid w:val="001C641D"/>
    <w:rsid w:val="001C7A13"/>
    <w:rsid w:val="001D0842"/>
    <w:rsid w:val="001D2029"/>
    <w:rsid w:val="001D3043"/>
    <w:rsid w:val="001D4CAA"/>
    <w:rsid w:val="001D53ED"/>
    <w:rsid w:val="001E37EC"/>
    <w:rsid w:val="001E4A8F"/>
    <w:rsid w:val="001E79BF"/>
    <w:rsid w:val="001F30FD"/>
    <w:rsid w:val="001F3793"/>
    <w:rsid w:val="001F3BED"/>
    <w:rsid w:val="001F4A48"/>
    <w:rsid w:val="001F4D49"/>
    <w:rsid w:val="001F6000"/>
    <w:rsid w:val="001F6CAF"/>
    <w:rsid w:val="001F74B5"/>
    <w:rsid w:val="00200E28"/>
    <w:rsid w:val="002024E1"/>
    <w:rsid w:val="002033F4"/>
    <w:rsid w:val="00205299"/>
    <w:rsid w:val="00206C7E"/>
    <w:rsid w:val="00207424"/>
    <w:rsid w:val="002079E9"/>
    <w:rsid w:val="002125BF"/>
    <w:rsid w:val="00212EEC"/>
    <w:rsid w:val="002156E3"/>
    <w:rsid w:val="00217531"/>
    <w:rsid w:val="00220EEB"/>
    <w:rsid w:val="002237C7"/>
    <w:rsid w:val="00224BF8"/>
    <w:rsid w:val="002279D4"/>
    <w:rsid w:val="00227FE3"/>
    <w:rsid w:val="0023024C"/>
    <w:rsid w:val="002320CB"/>
    <w:rsid w:val="00232213"/>
    <w:rsid w:val="00232E09"/>
    <w:rsid w:val="0023363B"/>
    <w:rsid w:val="00235F8C"/>
    <w:rsid w:val="002461F0"/>
    <w:rsid w:val="00246E2D"/>
    <w:rsid w:val="00247161"/>
    <w:rsid w:val="002477A8"/>
    <w:rsid w:val="002477C0"/>
    <w:rsid w:val="00250EFC"/>
    <w:rsid w:val="00253820"/>
    <w:rsid w:val="00254424"/>
    <w:rsid w:val="00256690"/>
    <w:rsid w:val="00260588"/>
    <w:rsid w:val="0026701A"/>
    <w:rsid w:val="002706FA"/>
    <w:rsid w:val="0027387D"/>
    <w:rsid w:val="002745BD"/>
    <w:rsid w:val="00275360"/>
    <w:rsid w:val="00281BB8"/>
    <w:rsid w:val="00282428"/>
    <w:rsid w:val="00284B46"/>
    <w:rsid w:val="0029021B"/>
    <w:rsid w:val="00291AE4"/>
    <w:rsid w:val="00294E79"/>
    <w:rsid w:val="00297C4E"/>
    <w:rsid w:val="002A1A1A"/>
    <w:rsid w:val="002A3609"/>
    <w:rsid w:val="002A3614"/>
    <w:rsid w:val="002A546D"/>
    <w:rsid w:val="002A63EC"/>
    <w:rsid w:val="002B11F4"/>
    <w:rsid w:val="002B4C7B"/>
    <w:rsid w:val="002B4C85"/>
    <w:rsid w:val="002B5E4B"/>
    <w:rsid w:val="002B6549"/>
    <w:rsid w:val="002C0111"/>
    <w:rsid w:val="002C1053"/>
    <w:rsid w:val="002C4E98"/>
    <w:rsid w:val="002C5B0C"/>
    <w:rsid w:val="002D2C66"/>
    <w:rsid w:val="002D37C4"/>
    <w:rsid w:val="002D3BB0"/>
    <w:rsid w:val="002D3FA9"/>
    <w:rsid w:val="002D43B9"/>
    <w:rsid w:val="002D4CCE"/>
    <w:rsid w:val="002D78AD"/>
    <w:rsid w:val="002E05C5"/>
    <w:rsid w:val="002E0E24"/>
    <w:rsid w:val="002E3665"/>
    <w:rsid w:val="002E4A52"/>
    <w:rsid w:val="002E732E"/>
    <w:rsid w:val="002F0151"/>
    <w:rsid w:val="002F2EA0"/>
    <w:rsid w:val="002F4374"/>
    <w:rsid w:val="002F6241"/>
    <w:rsid w:val="0030130C"/>
    <w:rsid w:val="00302846"/>
    <w:rsid w:val="00303927"/>
    <w:rsid w:val="00306254"/>
    <w:rsid w:val="00307BBE"/>
    <w:rsid w:val="003106D4"/>
    <w:rsid w:val="00314BE7"/>
    <w:rsid w:val="003154F7"/>
    <w:rsid w:val="0032133F"/>
    <w:rsid w:val="00321A40"/>
    <w:rsid w:val="00323EE0"/>
    <w:rsid w:val="00325493"/>
    <w:rsid w:val="003271A4"/>
    <w:rsid w:val="003327F8"/>
    <w:rsid w:val="00333DCB"/>
    <w:rsid w:val="00333FC4"/>
    <w:rsid w:val="00336850"/>
    <w:rsid w:val="003404F7"/>
    <w:rsid w:val="003429D3"/>
    <w:rsid w:val="00344800"/>
    <w:rsid w:val="0035116C"/>
    <w:rsid w:val="0035165B"/>
    <w:rsid w:val="003519D2"/>
    <w:rsid w:val="003548B9"/>
    <w:rsid w:val="00364ED9"/>
    <w:rsid w:val="00366474"/>
    <w:rsid w:val="00367931"/>
    <w:rsid w:val="00367E46"/>
    <w:rsid w:val="003706A7"/>
    <w:rsid w:val="00370B6D"/>
    <w:rsid w:val="00370BFD"/>
    <w:rsid w:val="0037303E"/>
    <w:rsid w:val="00373746"/>
    <w:rsid w:val="003746B7"/>
    <w:rsid w:val="00384DD1"/>
    <w:rsid w:val="0038615D"/>
    <w:rsid w:val="00392501"/>
    <w:rsid w:val="003952A1"/>
    <w:rsid w:val="00396911"/>
    <w:rsid w:val="003B15D6"/>
    <w:rsid w:val="003B2BA6"/>
    <w:rsid w:val="003B5605"/>
    <w:rsid w:val="003C4736"/>
    <w:rsid w:val="003C69E3"/>
    <w:rsid w:val="003D1969"/>
    <w:rsid w:val="003D5C4D"/>
    <w:rsid w:val="003D7A18"/>
    <w:rsid w:val="003E14C2"/>
    <w:rsid w:val="003E4234"/>
    <w:rsid w:val="003E4D90"/>
    <w:rsid w:val="003E4F69"/>
    <w:rsid w:val="003E6F32"/>
    <w:rsid w:val="003E78ED"/>
    <w:rsid w:val="003E7FF1"/>
    <w:rsid w:val="003F073D"/>
    <w:rsid w:val="003F099E"/>
    <w:rsid w:val="003F0B06"/>
    <w:rsid w:val="003F1BFC"/>
    <w:rsid w:val="003F2CA2"/>
    <w:rsid w:val="003F58F6"/>
    <w:rsid w:val="00403D63"/>
    <w:rsid w:val="00411D67"/>
    <w:rsid w:val="00412D01"/>
    <w:rsid w:val="00413EA8"/>
    <w:rsid w:val="004159D3"/>
    <w:rsid w:val="0041667F"/>
    <w:rsid w:val="004170B0"/>
    <w:rsid w:val="00417A89"/>
    <w:rsid w:val="00421CE5"/>
    <w:rsid w:val="00423736"/>
    <w:rsid w:val="00424483"/>
    <w:rsid w:val="00424EDE"/>
    <w:rsid w:val="00426D4A"/>
    <w:rsid w:val="00430A5F"/>
    <w:rsid w:val="00436AC0"/>
    <w:rsid w:val="00440B15"/>
    <w:rsid w:val="00440E53"/>
    <w:rsid w:val="00442532"/>
    <w:rsid w:val="004468C2"/>
    <w:rsid w:val="00451011"/>
    <w:rsid w:val="004543BF"/>
    <w:rsid w:val="00457721"/>
    <w:rsid w:val="00460602"/>
    <w:rsid w:val="00464576"/>
    <w:rsid w:val="00467A9F"/>
    <w:rsid w:val="00467ADB"/>
    <w:rsid w:val="004715EB"/>
    <w:rsid w:val="00473B0E"/>
    <w:rsid w:val="00475627"/>
    <w:rsid w:val="004760FB"/>
    <w:rsid w:val="00476858"/>
    <w:rsid w:val="004800B2"/>
    <w:rsid w:val="00482E4B"/>
    <w:rsid w:val="0048515A"/>
    <w:rsid w:val="00485622"/>
    <w:rsid w:val="00490F82"/>
    <w:rsid w:val="0049226E"/>
    <w:rsid w:val="00492630"/>
    <w:rsid w:val="00496A4C"/>
    <w:rsid w:val="004A5D1F"/>
    <w:rsid w:val="004B149F"/>
    <w:rsid w:val="004B19F9"/>
    <w:rsid w:val="004B542F"/>
    <w:rsid w:val="004C1236"/>
    <w:rsid w:val="004C4C7C"/>
    <w:rsid w:val="004D2B7E"/>
    <w:rsid w:val="004D3667"/>
    <w:rsid w:val="004E4A56"/>
    <w:rsid w:val="004E7557"/>
    <w:rsid w:val="004E7856"/>
    <w:rsid w:val="004F10E0"/>
    <w:rsid w:val="004F2EC8"/>
    <w:rsid w:val="004F4C3C"/>
    <w:rsid w:val="004F508B"/>
    <w:rsid w:val="004F6612"/>
    <w:rsid w:val="004F6875"/>
    <w:rsid w:val="005014D2"/>
    <w:rsid w:val="005019C3"/>
    <w:rsid w:val="00504E13"/>
    <w:rsid w:val="005055DA"/>
    <w:rsid w:val="00510540"/>
    <w:rsid w:val="00516B2C"/>
    <w:rsid w:val="0052167C"/>
    <w:rsid w:val="00522846"/>
    <w:rsid w:val="00522C2C"/>
    <w:rsid w:val="00523F0B"/>
    <w:rsid w:val="00525782"/>
    <w:rsid w:val="00525EDA"/>
    <w:rsid w:val="005265D7"/>
    <w:rsid w:val="0052799E"/>
    <w:rsid w:val="00530F37"/>
    <w:rsid w:val="00536D5A"/>
    <w:rsid w:val="0054136D"/>
    <w:rsid w:val="00541673"/>
    <w:rsid w:val="00546199"/>
    <w:rsid w:val="00546ED3"/>
    <w:rsid w:val="00547884"/>
    <w:rsid w:val="00553E7A"/>
    <w:rsid w:val="00554A66"/>
    <w:rsid w:val="00554FF2"/>
    <w:rsid w:val="005571BE"/>
    <w:rsid w:val="0055799F"/>
    <w:rsid w:val="005602ED"/>
    <w:rsid w:val="005612F7"/>
    <w:rsid w:val="00563450"/>
    <w:rsid w:val="00564FA8"/>
    <w:rsid w:val="00565366"/>
    <w:rsid w:val="0057078B"/>
    <w:rsid w:val="00571014"/>
    <w:rsid w:val="00573A51"/>
    <w:rsid w:val="005769DA"/>
    <w:rsid w:val="00577237"/>
    <w:rsid w:val="005801AD"/>
    <w:rsid w:val="00580FD5"/>
    <w:rsid w:val="00581075"/>
    <w:rsid w:val="005875FA"/>
    <w:rsid w:val="00591FC1"/>
    <w:rsid w:val="00592CF2"/>
    <w:rsid w:val="005969C7"/>
    <w:rsid w:val="00597D78"/>
    <w:rsid w:val="005A0832"/>
    <w:rsid w:val="005A0D60"/>
    <w:rsid w:val="005A0F35"/>
    <w:rsid w:val="005A2043"/>
    <w:rsid w:val="005A22F9"/>
    <w:rsid w:val="005A4E67"/>
    <w:rsid w:val="005A729C"/>
    <w:rsid w:val="005B0FF7"/>
    <w:rsid w:val="005B298C"/>
    <w:rsid w:val="005B7546"/>
    <w:rsid w:val="005C60E0"/>
    <w:rsid w:val="005C6172"/>
    <w:rsid w:val="005D1A00"/>
    <w:rsid w:val="005D559B"/>
    <w:rsid w:val="005D5742"/>
    <w:rsid w:val="005D583C"/>
    <w:rsid w:val="005E3F9A"/>
    <w:rsid w:val="005E57D0"/>
    <w:rsid w:val="005E5A1D"/>
    <w:rsid w:val="005E7722"/>
    <w:rsid w:val="005F5902"/>
    <w:rsid w:val="00601E3E"/>
    <w:rsid w:val="00601EC3"/>
    <w:rsid w:val="006023B2"/>
    <w:rsid w:val="006023D6"/>
    <w:rsid w:val="00610C7C"/>
    <w:rsid w:val="00615430"/>
    <w:rsid w:val="00616C8C"/>
    <w:rsid w:val="006227B5"/>
    <w:rsid w:val="00622843"/>
    <w:rsid w:val="006229F1"/>
    <w:rsid w:val="00626217"/>
    <w:rsid w:val="00626744"/>
    <w:rsid w:val="00630796"/>
    <w:rsid w:val="0063287C"/>
    <w:rsid w:val="00633F57"/>
    <w:rsid w:val="00637559"/>
    <w:rsid w:val="00637A54"/>
    <w:rsid w:val="00643F1E"/>
    <w:rsid w:val="0064529E"/>
    <w:rsid w:val="00645D56"/>
    <w:rsid w:val="006466D6"/>
    <w:rsid w:val="00647C0A"/>
    <w:rsid w:val="00647E04"/>
    <w:rsid w:val="00654E0E"/>
    <w:rsid w:val="00661610"/>
    <w:rsid w:val="006633AE"/>
    <w:rsid w:val="00663785"/>
    <w:rsid w:val="00665CB7"/>
    <w:rsid w:val="00666329"/>
    <w:rsid w:val="0066706E"/>
    <w:rsid w:val="00667F85"/>
    <w:rsid w:val="00672340"/>
    <w:rsid w:val="00672D66"/>
    <w:rsid w:val="00680CD4"/>
    <w:rsid w:val="00686CED"/>
    <w:rsid w:val="006877E2"/>
    <w:rsid w:val="00691773"/>
    <w:rsid w:val="00693942"/>
    <w:rsid w:val="0069582C"/>
    <w:rsid w:val="00696D59"/>
    <w:rsid w:val="006A2963"/>
    <w:rsid w:val="006A315A"/>
    <w:rsid w:val="006A411F"/>
    <w:rsid w:val="006A7550"/>
    <w:rsid w:val="006A7BA7"/>
    <w:rsid w:val="006B084C"/>
    <w:rsid w:val="006B1E26"/>
    <w:rsid w:val="006B7092"/>
    <w:rsid w:val="006C0BBF"/>
    <w:rsid w:val="006C1FCC"/>
    <w:rsid w:val="006C5F0B"/>
    <w:rsid w:val="006C71F3"/>
    <w:rsid w:val="006D194C"/>
    <w:rsid w:val="006D3CA3"/>
    <w:rsid w:val="006D44A4"/>
    <w:rsid w:val="006D564E"/>
    <w:rsid w:val="006D57AE"/>
    <w:rsid w:val="006D683A"/>
    <w:rsid w:val="006D6C9E"/>
    <w:rsid w:val="006E104A"/>
    <w:rsid w:val="006E2292"/>
    <w:rsid w:val="006E3403"/>
    <w:rsid w:val="006E3621"/>
    <w:rsid w:val="006E7D80"/>
    <w:rsid w:val="006F0B44"/>
    <w:rsid w:val="006F43BF"/>
    <w:rsid w:val="00700DE2"/>
    <w:rsid w:val="0070242A"/>
    <w:rsid w:val="0070343F"/>
    <w:rsid w:val="00703842"/>
    <w:rsid w:val="00705A06"/>
    <w:rsid w:val="007061D7"/>
    <w:rsid w:val="007111F8"/>
    <w:rsid w:val="00712797"/>
    <w:rsid w:val="00712860"/>
    <w:rsid w:val="007129DE"/>
    <w:rsid w:val="0071316A"/>
    <w:rsid w:val="00721C9D"/>
    <w:rsid w:val="007238CD"/>
    <w:rsid w:val="00723C5B"/>
    <w:rsid w:val="0072621F"/>
    <w:rsid w:val="00730C40"/>
    <w:rsid w:val="00732BCC"/>
    <w:rsid w:val="0074173E"/>
    <w:rsid w:val="00742351"/>
    <w:rsid w:val="007451D1"/>
    <w:rsid w:val="0074737E"/>
    <w:rsid w:val="00753078"/>
    <w:rsid w:val="00756D1A"/>
    <w:rsid w:val="00760443"/>
    <w:rsid w:val="007606F5"/>
    <w:rsid w:val="007608E1"/>
    <w:rsid w:val="007635F8"/>
    <w:rsid w:val="00766672"/>
    <w:rsid w:val="007702A1"/>
    <w:rsid w:val="00771C39"/>
    <w:rsid w:val="00773914"/>
    <w:rsid w:val="007739D5"/>
    <w:rsid w:val="007813E2"/>
    <w:rsid w:val="00781FBA"/>
    <w:rsid w:val="0078249B"/>
    <w:rsid w:val="00785D9C"/>
    <w:rsid w:val="0079516E"/>
    <w:rsid w:val="00796C91"/>
    <w:rsid w:val="00797C8F"/>
    <w:rsid w:val="007A1F2C"/>
    <w:rsid w:val="007A53AC"/>
    <w:rsid w:val="007A5C12"/>
    <w:rsid w:val="007B2152"/>
    <w:rsid w:val="007C282F"/>
    <w:rsid w:val="007C316D"/>
    <w:rsid w:val="007C4981"/>
    <w:rsid w:val="007D3C9F"/>
    <w:rsid w:val="007D3D66"/>
    <w:rsid w:val="007D5916"/>
    <w:rsid w:val="007E0D1B"/>
    <w:rsid w:val="007E3F44"/>
    <w:rsid w:val="007E7F58"/>
    <w:rsid w:val="007F1B8B"/>
    <w:rsid w:val="007F1D43"/>
    <w:rsid w:val="007F4600"/>
    <w:rsid w:val="007F4C77"/>
    <w:rsid w:val="007F762C"/>
    <w:rsid w:val="008017AD"/>
    <w:rsid w:val="00802B66"/>
    <w:rsid w:val="00803654"/>
    <w:rsid w:val="00804949"/>
    <w:rsid w:val="00806ECA"/>
    <w:rsid w:val="008121F4"/>
    <w:rsid w:val="008128E6"/>
    <w:rsid w:val="00817654"/>
    <w:rsid w:val="00817721"/>
    <w:rsid w:val="00824930"/>
    <w:rsid w:val="00833A92"/>
    <w:rsid w:val="00836EF1"/>
    <w:rsid w:val="008426DD"/>
    <w:rsid w:val="008471ED"/>
    <w:rsid w:val="00851073"/>
    <w:rsid w:val="00853FB6"/>
    <w:rsid w:val="0085442D"/>
    <w:rsid w:val="00856300"/>
    <w:rsid w:val="00862DBF"/>
    <w:rsid w:val="00864C84"/>
    <w:rsid w:val="00875A50"/>
    <w:rsid w:val="00880E2A"/>
    <w:rsid w:val="00881129"/>
    <w:rsid w:val="00881285"/>
    <w:rsid w:val="00881FA2"/>
    <w:rsid w:val="00882585"/>
    <w:rsid w:val="00882A86"/>
    <w:rsid w:val="008830AB"/>
    <w:rsid w:val="00883134"/>
    <w:rsid w:val="00890D36"/>
    <w:rsid w:val="00891172"/>
    <w:rsid w:val="008914B3"/>
    <w:rsid w:val="008922E5"/>
    <w:rsid w:val="008948FA"/>
    <w:rsid w:val="00897CD1"/>
    <w:rsid w:val="008A0D41"/>
    <w:rsid w:val="008A384A"/>
    <w:rsid w:val="008A59BF"/>
    <w:rsid w:val="008A65AA"/>
    <w:rsid w:val="008B04CB"/>
    <w:rsid w:val="008B089F"/>
    <w:rsid w:val="008B3211"/>
    <w:rsid w:val="008B3E47"/>
    <w:rsid w:val="008B4A2C"/>
    <w:rsid w:val="008B4D2B"/>
    <w:rsid w:val="008B51FD"/>
    <w:rsid w:val="008B637E"/>
    <w:rsid w:val="008B6D40"/>
    <w:rsid w:val="008C19AD"/>
    <w:rsid w:val="008C7539"/>
    <w:rsid w:val="008C7DD1"/>
    <w:rsid w:val="008D063A"/>
    <w:rsid w:val="008D1270"/>
    <w:rsid w:val="008D210E"/>
    <w:rsid w:val="008D34DB"/>
    <w:rsid w:val="008D54E4"/>
    <w:rsid w:val="008D56E6"/>
    <w:rsid w:val="008E1109"/>
    <w:rsid w:val="008E1A9D"/>
    <w:rsid w:val="008F0D2F"/>
    <w:rsid w:val="008F2527"/>
    <w:rsid w:val="008F31EE"/>
    <w:rsid w:val="008F4F13"/>
    <w:rsid w:val="008F7ABD"/>
    <w:rsid w:val="00901231"/>
    <w:rsid w:val="00911CA9"/>
    <w:rsid w:val="00920059"/>
    <w:rsid w:val="009216D7"/>
    <w:rsid w:val="009256FC"/>
    <w:rsid w:val="00926963"/>
    <w:rsid w:val="009328C0"/>
    <w:rsid w:val="00932A6E"/>
    <w:rsid w:val="00932E38"/>
    <w:rsid w:val="009359E9"/>
    <w:rsid w:val="009369E5"/>
    <w:rsid w:val="00936D40"/>
    <w:rsid w:val="00937580"/>
    <w:rsid w:val="0093765A"/>
    <w:rsid w:val="00941DE1"/>
    <w:rsid w:val="00941FB8"/>
    <w:rsid w:val="009501D2"/>
    <w:rsid w:val="009511C4"/>
    <w:rsid w:val="00954609"/>
    <w:rsid w:val="00957FEF"/>
    <w:rsid w:val="009615CE"/>
    <w:rsid w:val="00963B9B"/>
    <w:rsid w:val="00967BE7"/>
    <w:rsid w:val="00970034"/>
    <w:rsid w:val="009709A6"/>
    <w:rsid w:val="00971023"/>
    <w:rsid w:val="009739E6"/>
    <w:rsid w:val="00974245"/>
    <w:rsid w:val="0097461B"/>
    <w:rsid w:val="0097788F"/>
    <w:rsid w:val="009806F6"/>
    <w:rsid w:val="0098269E"/>
    <w:rsid w:val="0098545C"/>
    <w:rsid w:val="0098714E"/>
    <w:rsid w:val="00987D7D"/>
    <w:rsid w:val="009917E7"/>
    <w:rsid w:val="0099376B"/>
    <w:rsid w:val="00993F26"/>
    <w:rsid w:val="009A08CA"/>
    <w:rsid w:val="009A14F7"/>
    <w:rsid w:val="009A3E25"/>
    <w:rsid w:val="009A43BF"/>
    <w:rsid w:val="009A5D04"/>
    <w:rsid w:val="009A6BC4"/>
    <w:rsid w:val="009A6E0C"/>
    <w:rsid w:val="009B1A91"/>
    <w:rsid w:val="009B4F03"/>
    <w:rsid w:val="009C0308"/>
    <w:rsid w:val="009C2019"/>
    <w:rsid w:val="009C3BF2"/>
    <w:rsid w:val="009C41D1"/>
    <w:rsid w:val="009C6C81"/>
    <w:rsid w:val="009C7119"/>
    <w:rsid w:val="009C748B"/>
    <w:rsid w:val="009D01DC"/>
    <w:rsid w:val="009D46B8"/>
    <w:rsid w:val="009D774A"/>
    <w:rsid w:val="009E02B8"/>
    <w:rsid w:val="009E11C0"/>
    <w:rsid w:val="009E29C2"/>
    <w:rsid w:val="009E3F07"/>
    <w:rsid w:val="009E4AF3"/>
    <w:rsid w:val="009E68E4"/>
    <w:rsid w:val="009F0506"/>
    <w:rsid w:val="009F38A8"/>
    <w:rsid w:val="00A0349B"/>
    <w:rsid w:val="00A1102F"/>
    <w:rsid w:val="00A12883"/>
    <w:rsid w:val="00A158A1"/>
    <w:rsid w:val="00A16596"/>
    <w:rsid w:val="00A20E44"/>
    <w:rsid w:val="00A2320E"/>
    <w:rsid w:val="00A24314"/>
    <w:rsid w:val="00A25FDA"/>
    <w:rsid w:val="00A26A00"/>
    <w:rsid w:val="00A271A8"/>
    <w:rsid w:val="00A27BBC"/>
    <w:rsid w:val="00A32686"/>
    <w:rsid w:val="00A32E68"/>
    <w:rsid w:val="00A34237"/>
    <w:rsid w:val="00A35323"/>
    <w:rsid w:val="00A358E7"/>
    <w:rsid w:val="00A401BA"/>
    <w:rsid w:val="00A4069F"/>
    <w:rsid w:val="00A4080E"/>
    <w:rsid w:val="00A41F69"/>
    <w:rsid w:val="00A42E56"/>
    <w:rsid w:val="00A47844"/>
    <w:rsid w:val="00A51C4A"/>
    <w:rsid w:val="00A532FE"/>
    <w:rsid w:val="00A547E3"/>
    <w:rsid w:val="00A579F6"/>
    <w:rsid w:val="00A57D5E"/>
    <w:rsid w:val="00A57E6B"/>
    <w:rsid w:val="00A61A27"/>
    <w:rsid w:val="00A61F62"/>
    <w:rsid w:val="00A63379"/>
    <w:rsid w:val="00A743D4"/>
    <w:rsid w:val="00A769B8"/>
    <w:rsid w:val="00A76C9A"/>
    <w:rsid w:val="00A76CCA"/>
    <w:rsid w:val="00A77AF1"/>
    <w:rsid w:val="00A9068C"/>
    <w:rsid w:val="00A94366"/>
    <w:rsid w:val="00A960EE"/>
    <w:rsid w:val="00AA3A62"/>
    <w:rsid w:val="00AA41CB"/>
    <w:rsid w:val="00AA6027"/>
    <w:rsid w:val="00AB0784"/>
    <w:rsid w:val="00AB0EFF"/>
    <w:rsid w:val="00AB5CFF"/>
    <w:rsid w:val="00AC00D4"/>
    <w:rsid w:val="00AC28A1"/>
    <w:rsid w:val="00AC62AA"/>
    <w:rsid w:val="00AD0529"/>
    <w:rsid w:val="00AD0679"/>
    <w:rsid w:val="00AD22CE"/>
    <w:rsid w:val="00AD2975"/>
    <w:rsid w:val="00AD57E5"/>
    <w:rsid w:val="00AD5B3C"/>
    <w:rsid w:val="00AD7307"/>
    <w:rsid w:val="00AF38F5"/>
    <w:rsid w:val="00AF45C2"/>
    <w:rsid w:val="00AF4C0E"/>
    <w:rsid w:val="00AF5B45"/>
    <w:rsid w:val="00AF6056"/>
    <w:rsid w:val="00B00213"/>
    <w:rsid w:val="00B02BD2"/>
    <w:rsid w:val="00B03C0C"/>
    <w:rsid w:val="00B0783B"/>
    <w:rsid w:val="00B11C4D"/>
    <w:rsid w:val="00B12F0F"/>
    <w:rsid w:val="00B16FE6"/>
    <w:rsid w:val="00B20C03"/>
    <w:rsid w:val="00B218A3"/>
    <w:rsid w:val="00B27389"/>
    <w:rsid w:val="00B27929"/>
    <w:rsid w:val="00B27B4C"/>
    <w:rsid w:val="00B404C9"/>
    <w:rsid w:val="00B42F14"/>
    <w:rsid w:val="00B445C4"/>
    <w:rsid w:val="00B51B5C"/>
    <w:rsid w:val="00B54607"/>
    <w:rsid w:val="00B55B08"/>
    <w:rsid w:val="00B61E48"/>
    <w:rsid w:val="00B62AA3"/>
    <w:rsid w:val="00B62D76"/>
    <w:rsid w:val="00B6351F"/>
    <w:rsid w:val="00B65A87"/>
    <w:rsid w:val="00B67667"/>
    <w:rsid w:val="00B6777D"/>
    <w:rsid w:val="00B715D8"/>
    <w:rsid w:val="00B80F7E"/>
    <w:rsid w:val="00B8363C"/>
    <w:rsid w:val="00B84373"/>
    <w:rsid w:val="00B84C2F"/>
    <w:rsid w:val="00B85C95"/>
    <w:rsid w:val="00B873C7"/>
    <w:rsid w:val="00B94811"/>
    <w:rsid w:val="00B94D4D"/>
    <w:rsid w:val="00B94E52"/>
    <w:rsid w:val="00B95285"/>
    <w:rsid w:val="00B96C7E"/>
    <w:rsid w:val="00BA1721"/>
    <w:rsid w:val="00BA1823"/>
    <w:rsid w:val="00BA5640"/>
    <w:rsid w:val="00BA5E29"/>
    <w:rsid w:val="00BB0DC4"/>
    <w:rsid w:val="00BB1840"/>
    <w:rsid w:val="00BB3116"/>
    <w:rsid w:val="00BB6915"/>
    <w:rsid w:val="00BB7FC1"/>
    <w:rsid w:val="00BC1F72"/>
    <w:rsid w:val="00BC3139"/>
    <w:rsid w:val="00BC709F"/>
    <w:rsid w:val="00BD1E6E"/>
    <w:rsid w:val="00BD2E29"/>
    <w:rsid w:val="00BD4AFE"/>
    <w:rsid w:val="00BD79B6"/>
    <w:rsid w:val="00BE05AF"/>
    <w:rsid w:val="00BE2156"/>
    <w:rsid w:val="00BE2515"/>
    <w:rsid w:val="00BE39CF"/>
    <w:rsid w:val="00BE6C3F"/>
    <w:rsid w:val="00BF184A"/>
    <w:rsid w:val="00BF2ABE"/>
    <w:rsid w:val="00BF3CCE"/>
    <w:rsid w:val="00BF4330"/>
    <w:rsid w:val="00BF5A6D"/>
    <w:rsid w:val="00BF7825"/>
    <w:rsid w:val="00C0024D"/>
    <w:rsid w:val="00C00BB9"/>
    <w:rsid w:val="00C03997"/>
    <w:rsid w:val="00C03BA2"/>
    <w:rsid w:val="00C07864"/>
    <w:rsid w:val="00C11101"/>
    <w:rsid w:val="00C13A46"/>
    <w:rsid w:val="00C20700"/>
    <w:rsid w:val="00C22FAC"/>
    <w:rsid w:val="00C254D7"/>
    <w:rsid w:val="00C31578"/>
    <w:rsid w:val="00C3471C"/>
    <w:rsid w:val="00C35F7D"/>
    <w:rsid w:val="00C36BB4"/>
    <w:rsid w:val="00C40036"/>
    <w:rsid w:val="00C401AC"/>
    <w:rsid w:val="00C41FB8"/>
    <w:rsid w:val="00C42E61"/>
    <w:rsid w:val="00C47A62"/>
    <w:rsid w:val="00C50C46"/>
    <w:rsid w:val="00C51206"/>
    <w:rsid w:val="00C5226B"/>
    <w:rsid w:val="00C57648"/>
    <w:rsid w:val="00C57F93"/>
    <w:rsid w:val="00C62C49"/>
    <w:rsid w:val="00C65868"/>
    <w:rsid w:val="00C70787"/>
    <w:rsid w:val="00C73E05"/>
    <w:rsid w:val="00C74293"/>
    <w:rsid w:val="00C7505D"/>
    <w:rsid w:val="00C76EE9"/>
    <w:rsid w:val="00C8009B"/>
    <w:rsid w:val="00C845BF"/>
    <w:rsid w:val="00C93C25"/>
    <w:rsid w:val="00C949FF"/>
    <w:rsid w:val="00CA205F"/>
    <w:rsid w:val="00CA267A"/>
    <w:rsid w:val="00CA2F09"/>
    <w:rsid w:val="00CA4714"/>
    <w:rsid w:val="00CA593B"/>
    <w:rsid w:val="00CA59BA"/>
    <w:rsid w:val="00CA71BD"/>
    <w:rsid w:val="00CB32BE"/>
    <w:rsid w:val="00CB5CFF"/>
    <w:rsid w:val="00CB5EF2"/>
    <w:rsid w:val="00CB6071"/>
    <w:rsid w:val="00CB6793"/>
    <w:rsid w:val="00CC280E"/>
    <w:rsid w:val="00CC3A31"/>
    <w:rsid w:val="00CC6A90"/>
    <w:rsid w:val="00CC7396"/>
    <w:rsid w:val="00CD03F1"/>
    <w:rsid w:val="00CD0AE4"/>
    <w:rsid w:val="00CD1EDD"/>
    <w:rsid w:val="00CD2E53"/>
    <w:rsid w:val="00CE0964"/>
    <w:rsid w:val="00CE13A0"/>
    <w:rsid w:val="00CE1799"/>
    <w:rsid w:val="00CE324F"/>
    <w:rsid w:val="00CE327C"/>
    <w:rsid w:val="00CE6644"/>
    <w:rsid w:val="00CF16E8"/>
    <w:rsid w:val="00CF477D"/>
    <w:rsid w:val="00CF58F9"/>
    <w:rsid w:val="00CF60E6"/>
    <w:rsid w:val="00CF71E7"/>
    <w:rsid w:val="00D016C4"/>
    <w:rsid w:val="00D02E52"/>
    <w:rsid w:val="00D02FCE"/>
    <w:rsid w:val="00D03DEF"/>
    <w:rsid w:val="00D06236"/>
    <w:rsid w:val="00D10AA6"/>
    <w:rsid w:val="00D1195E"/>
    <w:rsid w:val="00D149B9"/>
    <w:rsid w:val="00D20C93"/>
    <w:rsid w:val="00D23235"/>
    <w:rsid w:val="00D326F1"/>
    <w:rsid w:val="00D35109"/>
    <w:rsid w:val="00D407D9"/>
    <w:rsid w:val="00D442B4"/>
    <w:rsid w:val="00D44A33"/>
    <w:rsid w:val="00D5020D"/>
    <w:rsid w:val="00D50E37"/>
    <w:rsid w:val="00D51363"/>
    <w:rsid w:val="00D5189E"/>
    <w:rsid w:val="00D5278E"/>
    <w:rsid w:val="00D57E01"/>
    <w:rsid w:val="00D60D36"/>
    <w:rsid w:val="00D61D93"/>
    <w:rsid w:val="00D6305C"/>
    <w:rsid w:val="00D63785"/>
    <w:rsid w:val="00D64896"/>
    <w:rsid w:val="00D64FF7"/>
    <w:rsid w:val="00D66478"/>
    <w:rsid w:val="00D66730"/>
    <w:rsid w:val="00D6711D"/>
    <w:rsid w:val="00D713FA"/>
    <w:rsid w:val="00D776DF"/>
    <w:rsid w:val="00D81B4E"/>
    <w:rsid w:val="00D834DF"/>
    <w:rsid w:val="00D9027C"/>
    <w:rsid w:val="00D91993"/>
    <w:rsid w:val="00D91DF1"/>
    <w:rsid w:val="00D92B5F"/>
    <w:rsid w:val="00D96A93"/>
    <w:rsid w:val="00DA206F"/>
    <w:rsid w:val="00DA2371"/>
    <w:rsid w:val="00DA5B06"/>
    <w:rsid w:val="00DA71AC"/>
    <w:rsid w:val="00DB18CE"/>
    <w:rsid w:val="00DB25BC"/>
    <w:rsid w:val="00DB37D3"/>
    <w:rsid w:val="00DB479A"/>
    <w:rsid w:val="00DB484F"/>
    <w:rsid w:val="00DB6302"/>
    <w:rsid w:val="00DB6C0B"/>
    <w:rsid w:val="00DC0A30"/>
    <w:rsid w:val="00DC4A27"/>
    <w:rsid w:val="00DC6655"/>
    <w:rsid w:val="00DD441C"/>
    <w:rsid w:val="00DD532A"/>
    <w:rsid w:val="00DE17D2"/>
    <w:rsid w:val="00DE3CF0"/>
    <w:rsid w:val="00DE7173"/>
    <w:rsid w:val="00DE79CD"/>
    <w:rsid w:val="00DE7FE7"/>
    <w:rsid w:val="00DF241F"/>
    <w:rsid w:val="00DF2B46"/>
    <w:rsid w:val="00DF5431"/>
    <w:rsid w:val="00E00D3B"/>
    <w:rsid w:val="00E04D9A"/>
    <w:rsid w:val="00E06D99"/>
    <w:rsid w:val="00E101E9"/>
    <w:rsid w:val="00E119F3"/>
    <w:rsid w:val="00E12453"/>
    <w:rsid w:val="00E1385C"/>
    <w:rsid w:val="00E14508"/>
    <w:rsid w:val="00E160F3"/>
    <w:rsid w:val="00E17449"/>
    <w:rsid w:val="00E20304"/>
    <w:rsid w:val="00E237AE"/>
    <w:rsid w:val="00E24DAB"/>
    <w:rsid w:val="00E325AF"/>
    <w:rsid w:val="00E33D90"/>
    <w:rsid w:val="00E33E6A"/>
    <w:rsid w:val="00E35C33"/>
    <w:rsid w:val="00E36D61"/>
    <w:rsid w:val="00E452F6"/>
    <w:rsid w:val="00E46571"/>
    <w:rsid w:val="00E471CF"/>
    <w:rsid w:val="00E507A0"/>
    <w:rsid w:val="00E50DC6"/>
    <w:rsid w:val="00E56FD6"/>
    <w:rsid w:val="00E57D60"/>
    <w:rsid w:val="00E7174C"/>
    <w:rsid w:val="00E71FC1"/>
    <w:rsid w:val="00E727E2"/>
    <w:rsid w:val="00E72FA3"/>
    <w:rsid w:val="00E82AE1"/>
    <w:rsid w:val="00E833FE"/>
    <w:rsid w:val="00E841DE"/>
    <w:rsid w:val="00E84C11"/>
    <w:rsid w:val="00E85142"/>
    <w:rsid w:val="00E8529B"/>
    <w:rsid w:val="00E85AF1"/>
    <w:rsid w:val="00E86AEE"/>
    <w:rsid w:val="00E92C91"/>
    <w:rsid w:val="00E9462A"/>
    <w:rsid w:val="00E9472B"/>
    <w:rsid w:val="00E96EE0"/>
    <w:rsid w:val="00E97E28"/>
    <w:rsid w:val="00EA0B74"/>
    <w:rsid w:val="00EA0ED4"/>
    <w:rsid w:val="00EA3B90"/>
    <w:rsid w:val="00EA3EAA"/>
    <w:rsid w:val="00EA49D5"/>
    <w:rsid w:val="00EA4A1A"/>
    <w:rsid w:val="00EA5A93"/>
    <w:rsid w:val="00EA742B"/>
    <w:rsid w:val="00EB04C3"/>
    <w:rsid w:val="00EB0DB8"/>
    <w:rsid w:val="00EB4B3F"/>
    <w:rsid w:val="00EC27D7"/>
    <w:rsid w:val="00EC36F9"/>
    <w:rsid w:val="00EC730E"/>
    <w:rsid w:val="00ED5466"/>
    <w:rsid w:val="00ED58F0"/>
    <w:rsid w:val="00ED7906"/>
    <w:rsid w:val="00EE0994"/>
    <w:rsid w:val="00EE49AE"/>
    <w:rsid w:val="00EE7528"/>
    <w:rsid w:val="00EE78A9"/>
    <w:rsid w:val="00EF2B64"/>
    <w:rsid w:val="00EF416A"/>
    <w:rsid w:val="00EF4ECE"/>
    <w:rsid w:val="00EF6C1C"/>
    <w:rsid w:val="00EF7356"/>
    <w:rsid w:val="00EF74D8"/>
    <w:rsid w:val="00F022ED"/>
    <w:rsid w:val="00F0339B"/>
    <w:rsid w:val="00F0606E"/>
    <w:rsid w:val="00F10D57"/>
    <w:rsid w:val="00F13CCE"/>
    <w:rsid w:val="00F14A28"/>
    <w:rsid w:val="00F14D0A"/>
    <w:rsid w:val="00F17373"/>
    <w:rsid w:val="00F20C68"/>
    <w:rsid w:val="00F21069"/>
    <w:rsid w:val="00F303AD"/>
    <w:rsid w:val="00F32C61"/>
    <w:rsid w:val="00F33737"/>
    <w:rsid w:val="00F3392D"/>
    <w:rsid w:val="00F35F1B"/>
    <w:rsid w:val="00F446C9"/>
    <w:rsid w:val="00F55CD0"/>
    <w:rsid w:val="00F56538"/>
    <w:rsid w:val="00F64841"/>
    <w:rsid w:val="00F70560"/>
    <w:rsid w:val="00F70AE4"/>
    <w:rsid w:val="00F712DF"/>
    <w:rsid w:val="00F8171E"/>
    <w:rsid w:val="00F825F2"/>
    <w:rsid w:val="00F83502"/>
    <w:rsid w:val="00F92A24"/>
    <w:rsid w:val="00F93EF1"/>
    <w:rsid w:val="00F9450F"/>
    <w:rsid w:val="00F96C90"/>
    <w:rsid w:val="00FA4626"/>
    <w:rsid w:val="00FB0528"/>
    <w:rsid w:val="00FB1EE7"/>
    <w:rsid w:val="00FB2F55"/>
    <w:rsid w:val="00FB45A6"/>
    <w:rsid w:val="00FB5AB5"/>
    <w:rsid w:val="00FD0F68"/>
    <w:rsid w:val="00FD212C"/>
    <w:rsid w:val="00FD4788"/>
    <w:rsid w:val="00FE0DCA"/>
    <w:rsid w:val="00FE196A"/>
    <w:rsid w:val="00FE367D"/>
    <w:rsid w:val="00FE36A0"/>
    <w:rsid w:val="00FE3757"/>
    <w:rsid w:val="00FE54C9"/>
    <w:rsid w:val="00FE60A8"/>
    <w:rsid w:val="00FF0AE4"/>
    <w:rsid w:val="00FF1A92"/>
    <w:rsid w:val="00FF4947"/>
    <w:rsid w:val="00FF509E"/>
    <w:rsid w:val="00FF70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E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E7A"/>
    <w:pPr>
      <w:ind w:left="720"/>
      <w:contextualSpacing/>
    </w:pPr>
  </w:style>
  <w:style w:type="paragraph" w:customStyle="1" w:styleId="Default">
    <w:name w:val="Default"/>
    <w:rsid w:val="00553E7A"/>
    <w:pPr>
      <w:autoSpaceDE w:val="0"/>
      <w:autoSpaceDN w:val="0"/>
      <w:adjustRightInd w:val="0"/>
      <w:spacing w:after="0" w:line="240" w:lineRule="auto"/>
    </w:pPr>
    <w:rPr>
      <w:rFonts w:ascii="Wingdings" w:hAnsi="Wingdings" w:cs="Wingdings"/>
      <w:color w:val="000000"/>
      <w:sz w:val="24"/>
      <w:szCs w:val="24"/>
    </w:rPr>
  </w:style>
  <w:style w:type="paragraph" w:styleId="Header">
    <w:name w:val="header"/>
    <w:basedOn w:val="Normal"/>
    <w:link w:val="HeaderChar"/>
    <w:uiPriority w:val="99"/>
    <w:unhideWhenUsed/>
    <w:rsid w:val="00B96C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C7E"/>
  </w:style>
  <w:style w:type="paragraph" w:styleId="Footer">
    <w:name w:val="footer"/>
    <w:basedOn w:val="Normal"/>
    <w:link w:val="FooterChar"/>
    <w:uiPriority w:val="99"/>
    <w:unhideWhenUsed/>
    <w:rsid w:val="00B96C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C7E"/>
  </w:style>
  <w:style w:type="character" w:customStyle="1" w:styleId="Heading3Char">
    <w:name w:val="Heading 3 Char"/>
    <w:basedOn w:val="DefaultParagraphFont"/>
    <w:rsid w:val="003706A7"/>
    <w:rPr>
      <w:rFonts w:ascii="Arial" w:eastAsia="Times New Roman" w:hAnsi="Arial"/>
      <w:b/>
      <w:noProof/>
      <w:sz w:val="24"/>
      <w:szCs w:val="24"/>
      <w:lang w:val="mk-MK" w:eastAsia="en-GB"/>
    </w:rPr>
  </w:style>
  <w:style w:type="paragraph" w:styleId="PlainText">
    <w:name w:val="Plain Text"/>
    <w:basedOn w:val="Normal"/>
    <w:link w:val="PlainTextChar"/>
    <w:uiPriority w:val="99"/>
    <w:unhideWhenUsed/>
    <w:rsid w:val="003706A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706A7"/>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736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5D0B3-C7E7-40B9-B0F0-18EE85113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1919</TotalTime>
  <Pages>32</Pages>
  <Words>7568</Words>
  <Characters>43139</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Kapital Banka</Company>
  <LinksUpToDate>false</LinksUpToDate>
  <CharactersWithSpaces>50606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nikolat</dc:creator>
  <cp:keywords/>
  <dc:description/>
  <cp:lastModifiedBy>user</cp:lastModifiedBy>
  <cp:revision>1098</cp:revision>
  <cp:lastPrinted>2016-01-18T09:49:00Z</cp:lastPrinted>
  <dcterms:created xsi:type="dcterms:W3CDTF">2010-07-30T12:53:00Z</dcterms:created>
  <dcterms:modified xsi:type="dcterms:W3CDTF">2016-02-08T10:46:00Z</dcterms:modified>
</cp:coreProperties>
</file>